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E8A94" w14:textId="08CA1F90" w:rsidR="00F53283" w:rsidRDefault="00F53283" w:rsidP="00F53283">
      <w:pPr>
        <w:jc w:val="center"/>
        <w:rPr>
          <w:b/>
          <w:bCs/>
          <w:sz w:val="30"/>
          <w:szCs w:val="30"/>
        </w:rPr>
      </w:pPr>
      <w:r w:rsidRPr="00CC68AB">
        <w:rPr>
          <w:rFonts w:hint="eastAsia"/>
          <w:b/>
          <w:bCs/>
          <w:sz w:val="30"/>
          <w:szCs w:val="30"/>
        </w:rPr>
        <w:t>同心</w:t>
      </w:r>
      <w:r w:rsidR="002C6032">
        <w:rPr>
          <w:rFonts w:hint="eastAsia"/>
          <w:b/>
          <w:bCs/>
          <w:sz w:val="30"/>
          <w:szCs w:val="30"/>
        </w:rPr>
        <w:t>抗疫</w:t>
      </w:r>
      <w:r w:rsidRPr="00CC68AB">
        <w:rPr>
          <w:rFonts w:hint="eastAsia"/>
          <w:b/>
          <w:bCs/>
          <w:sz w:val="30"/>
          <w:szCs w:val="30"/>
        </w:rPr>
        <w:t>：</w:t>
      </w:r>
      <w:r w:rsidRPr="00CC68AB">
        <w:rPr>
          <w:rFonts w:hint="eastAsia"/>
          <w:b/>
          <w:bCs/>
          <w:sz w:val="30"/>
          <w:szCs w:val="30"/>
        </w:rPr>
        <w:t>ScienceDirect</w:t>
      </w:r>
      <w:bookmarkStart w:id="0" w:name="OLE_LINK5"/>
      <w:r>
        <w:rPr>
          <w:rFonts w:hint="eastAsia"/>
          <w:b/>
          <w:bCs/>
          <w:sz w:val="30"/>
          <w:szCs w:val="30"/>
        </w:rPr>
        <w:t>电子</w:t>
      </w:r>
      <w:r w:rsidRPr="00CC68AB">
        <w:rPr>
          <w:rFonts w:hint="eastAsia"/>
          <w:b/>
          <w:bCs/>
          <w:sz w:val="30"/>
          <w:szCs w:val="30"/>
        </w:rPr>
        <w:t>图书</w:t>
      </w:r>
      <w:bookmarkEnd w:id="0"/>
      <w:r w:rsidR="00735E1B">
        <w:rPr>
          <w:rFonts w:hint="eastAsia"/>
          <w:b/>
          <w:bCs/>
          <w:sz w:val="30"/>
          <w:szCs w:val="30"/>
        </w:rPr>
        <w:t>全库</w:t>
      </w:r>
      <w:r w:rsidRPr="00CC68AB">
        <w:rPr>
          <w:rFonts w:hint="eastAsia"/>
          <w:b/>
          <w:bCs/>
          <w:sz w:val="30"/>
          <w:szCs w:val="30"/>
        </w:rPr>
        <w:t>免费试用</w:t>
      </w:r>
      <w:r>
        <w:rPr>
          <w:rFonts w:hint="eastAsia"/>
          <w:b/>
          <w:bCs/>
          <w:sz w:val="30"/>
          <w:szCs w:val="30"/>
        </w:rPr>
        <w:t>开通</w:t>
      </w:r>
    </w:p>
    <w:p w14:paraId="19373966" w14:textId="1B14DE5D" w:rsidR="00413F9C" w:rsidRDefault="00413F9C" w:rsidP="00413F9C">
      <w:pPr>
        <w:autoSpaceDE w:val="0"/>
        <w:autoSpaceDN w:val="0"/>
        <w:adjustRightInd w:val="0"/>
        <w:spacing w:after="0" w:line="240" w:lineRule="auto"/>
        <w:rPr>
          <w:rFonts w:ascii="MicrosoftYaHei" w:eastAsia="MicrosoftYaHei" w:hAnsi="NexusSansOffcPro" w:cs="MicrosoftYaHei"/>
          <w:sz w:val="28"/>
          <w:szCs w:val="28"/>
        </w:rPr>
      </w:pPr>
    </w:p>
    <w:p w14:paraId="76A1C3BC" w14:textId="77777777" w:rsidR="00413F9C" w:rsidRDefault="00413F9C" w:rsidP="00413F9C">
      <w:pPr>
        <w:autoSpaceDE w:val="0"/>
        <w:autoSpaceDN w:val="0"/>
        <w:adjustRightInd w:val="0"/>
        <w:spacing w:after="0" w:line="240" w:lineRule="auto"/>
        <w:rPr>
          <w:rFonts w:ascii="MicrosoftYaHei" w:eastAsia="MicrosoftYaHei" w:hAnsi="NexusSansOffcPro" w:cs="MicrosoftYaHei"/>
          <w:sz w:val="28"/>
          <w:szCs w:val="28"/>
        </w:rPr>
      </w:pPr>
      <w:r>
        <w:rPr>
          <w:rFonts w:ascii="MicrosoftYaHei" w:eastAsia="MicrosoftYaHei" w:hAnsi="NexusSansOffcPro" w:cs="MicrosoftYaHei" w:hint="eastAsia"/>
          <w:sz w:val="28"/>
          <w:szCs w:val="28"/>
        </w:rPr>
        <w:t>您没有权限</w:t>
      </w:r>
    </w:p>
    <w:p w14:paraId="36DF00A7" w14:textId="77777777" w:rsidR="00413F9C" w:rsidRDefault="00413F9C" w:rsidP="00413F9C">
      <w:pPr>
        <w:autoSpaceDE w:val="0"/>
        <w:autoSpaceDN w:val="0"/>
        <w:adjustRightInd w:val="0"/>
        <w:spacing w:after="0" w:line="240" w:lineRule="auto"/>
        <w:rPr>
          <w:rFonts w:ascii="MicrosoftYaHei" w:eastAsia="MicrosoftYaHei" w:hAnsi="NexusSansOffcPro" w:cs="MicrosoftYaHei"/>
          <w:sz w:val="28"/>
          <w:szCs w:val="28"/>
        </w:rPr>
      </w:pPr>
      <w:r>
        <w:rPr>
          <w:rFonts w:ascii="MicrosoftYaHei" w:eastAsia="MicrosoftYaHei" w:hAnsi="NexusSansOffcPro" w:cs="MicrosoftYaHei" w:hint="eastAsia"/>
          <w:sz w:val="28"/>
          <w:szCs w:val="28"/>
        </w:rPr>
        <w:t>您所访问的内容未开通，请确认购买</w:t>
      </w:r>
    </w:p>
    <w:p w14:paraId="2428DC2A" w14:textId="77777777" w:rsidR="00413F9C" w:rsidRDefault="00413F9C" w:rsidP="00621AA5">
      <w:pPr>
        <w:autoSpaceDE w:val="0"/>
        <w:autoSpaceDN w:val="0"/>
        <w:adjustRightInd w:val="0"/>
        <w:spacing w:after="0" w:line="480" w:lineRule="auto"/>
        <w:rPr>
          <w:rFonts w:eastAsia="MicrosoftYaHei" w:cs="MicrosoftYaHei"/>
          <w:sz w:val="28"/>
          <w:szCs w:val="28"/>
        </w:rPr>
      </w:pPr>
      <w:r>
        <w:rPr>
          <w:rFonts w:ascii="MicrosoftYaHei" w:eastAsia="MicrosoftYaHei" w:hAnsi="NexusSansOffcPro" w:cs="MicrosoftYaHei" w:hint="eastAsia"/>
          <w:sz w:val="28"/>
          <w:szCs w:val="28"/>
        </w:rPr>
        <w:t>您</w:t>
      </w:r>
      <w:r>
        <w:rPr>
          <w:rFonts w:eastAsia="MicrosoftYaHei" w:cs="MicrosoftYaHei" w:hint="eastAsia"/>
          <w:sz w:val="28"/>
          <w:szCs w:val="28"/>
        </w:rPr>
        <w:t>。。。</w:t>
      </w:r>
    </w:p>
    <w:p w14:paraId="4E92F466" w14:textId="77777777" w:rsidR="00413F9C" w:rsidRDefault="00413F9C" w:rsidP="00621AA5">
      <w:pPr>
        <w:autoSpaceDE w:val="0"/>
        <w:autoSpaceDN w:val="0"/>
        <w:adjustRightInd w:val="0"/>
        <w:spacing w:after="0" w:line="480" w:lineRule="auto"/>
        <w:rPr>
          <w:rFonts w:eastAsia="MicrosoftYaHei" w:cs="MicrosoftYaHei"/>
          <w:sz w:val="28"/>
          <w:szCs w:val="28"/>
        </w:rPr>
      </w:pPr>
      <w:r>
        <w:rPr>
          <w:rFonts w:eastAsia="MicrosoftYaHei" w:cs="MicrosoftYaHei" w:hint="eastAsia"/>
          <w:noProof/>
          <w:sz w:val="28"/>
          <w:szCs w:val="28"/>
        </w:rPr>
        <w:drawing>
          <wp:inline distT="0" distB="0" distL="0" distR="0" wp14:anchorId="2D3CCC0B" wp14:editId="106C8D27">
            <wp:extent cx="2047875" cy="193957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338" cy="1954219"/>
                    </a:xfrm>
                    <a:prstGeom prst="rect">
                      <a:avLst/>
                    </a:prstGeom>
                    <a:noFill/>
                    <a:ln>
                      <a:noFill/>
                    </a:ln>
                  </pic:spPr>
                </pic:pic>
              </a:graphicData>
            </a:graphic>
          </wp:inline>
        </w:drawing>
      </w:r>
    </w:p>
    <w:p w14:paraId="76B6CF48" w14:textId="77777777" w:rsidR="00C97EF4" w:rsidRDefault="001E1D48" w:rsidP="00621AA5">
      <w:pPr>
        <w:autoSpaceDE w:val="0"/>
        <w:autoSpaceDN w:val="0"/>
        <w:adjustRightInd w:val="0"/>
        <w:spacing w:after="0" w:line="480" w:lineRule="auto"/>
        <w:rPr>
          <w:rFonts w:ascii="MicrosoftYaHei" w:eastAsia="MicrosoftYaHei" w:hAnsi="NexusSansOffcPro" w:cs="MicrosoftYaHei"/>
          <w:sz w:val="28"/>
          <w:szCs w:val="28"/>
        </w:rPr>
      </w:pPr>
      <w:r>
        <w:rPr>
          <w:rFonts w:ascii="MicrosoftYaHei" w:eastAsia="MicrosoftYaHei" w:hAnsi="NexusSansOffcPro" w:cs="MicrosoftYaHei" w:hint="eastAsia"/>
          <w:sz w:val="28"/>
          <w:szCs w:val="28"/>
        </w:rPr>
        <w:t>还在为了</w:t>
      </w:r>
      <w:r w:rsidR="00A110F8">
        <w:rPr>
          <w:rFonts w:ascii="MicrosoftYaHei" w:eastAsia="MicrosoftYaHei" w:hAnsi="NexusSansOffcPro" w:cs="MicrosoftYaHei" w:hint="eastAsia"/>
          <w:sz w:val="28"/>
          <w:szCs w:val="28"/>
        </w:rPr>
        <w:t>好不容易找到的文献却打不开而烦恼吗？</w:t>
      </w:r>
    </w:p>
    <w:p w14:paraId="14F90B26" w14:textId="2413619A" w:rsidR="00F53283" w:rsidRDefault="00A110F8" w:rsidP="00621AA5">
      <w:pPr>
        <w:autoSpaceDE w:val="0"/>
        <w:autoSpaceDN w:val="0"/>
        <w:adjustRightInd w:val="0"/>
        <w:spacing w:after="0" w:line="480" w:lineRule="auto"/>
        <w:rPr>
          <w:rFonts w:ascii="MicrosoftYaHei" w:eastAsia="MicrosoftYaHei" w:hAnsi="NexusSansOffcPro" w:cs="MicrosoftYaHei"/>
          <w:sz w:val="28"/>
          <w:szCs w:val="28"/>
        </w:rPr>
      </w:pPr>
      <w:r>
        <w:rPr>
          <w:rFonts w:ascii="MicrosoftYaHei" w:eastAsia="MicrosoftYaHei" w:hAnsi="NexusSansOffcPro" w:cs="MicrosoftYaHei" w:hint="eastAsia"/>
          <w:sz w:val="28"/>
          <w:szCs w:val="28"/>
        </w:rPr>
        <w:t>还在为了找不到合适的图书当做入门学习读物吗？</w:t>
      </w:r>
    </w:p>
    <w:p w14:paraId="16942013" w14:textId="046B7165" w:rsidR="00F53283" w:rsidRDefault="00F53283" w:rsidP="00F53283">
      <w:pPr>
        <w:spacing w:line="360" w:lineRule="auto"/>
        <w:rPr>
          <w:rFonts w:ascii="MicrosoftYaHei" w:eastAsia="MicrosoftYaHei" w:hAnsi="NexusSansOffcPro" w:cs="MicrosoftYaHei"/>
          <w:sz w:val="28"/>
          <w:szCs w:val="28"/>
        </w:rPr>
      </w:pPr>
      <w:r w:rsidRPr="00F53283">
        <w:rPr>
          <w:rFonts w:ascii="MicrosoftYaHei" w:eastAsia="MicrosoftYaHei" w:hAnsi="NexusSansOffcPro" w:cs="MicrosoftYaHei" w:hint="eastAsia"/>
          <w:sz w:val="28"/>
          <w:szCs w:val="28"/>
        </w:rPr>
        <w:t>自新型冠状病毒肺炎疫情出现以来，</w:t>
      </w:r>
      <w:r w:rsidR="00F92F1A">
        <w:rPr>
          <w:rFonts w:ascii="MicrosoftYaHei" w:eastAsia="MicrosoftYaHei" w:hAnsi="NexusSansOffcPro" w:cs="MicrosoftYaHei" w:hint="eastAsia"/>
          <w:sz w:val="28"/>
          <w:szCs w:val="28"/>
        </w:rPr>
        <w:t>图书馆</w:t>
      </w:r>
      <w:r w:rsidRPr="00F53283">
        <w:rPr>
          <w:rFonts w:ascii="MicrosoftYaHei" w:eastAsia="MicrosoftYaHei" w:hAnsi="NexusSansOffcPro" w:cs="MicrosoftYaHei" w:hint="eastAsia"/>
          <w:sz w:val="28"/>
          <w:szCs w:val="28"/>
        </w:rPr>
        <w:t>密切关注疫情防控进展，</w:t>
      </w:r>
      <w:r>
        <w:rPr>
          <w:rFonts w:ascii="MicrosoftYaHei" w:eastAsia="MicrosoftYaHei" w:hAnsi="NexusSansOffcPro" w:cs="MicrosoftYaHei" w:hint="eastAsia"/>
          <w:sz w:val="28"/>
          <w:szCs w:val="28"/>
        </w:rPr>
        <w:t>现</w:t>
      </w:r>
      <w:r w:rsidR="00D15697">
        <w:rPr>
          <w:rFonts w:ascii="MicrosoftYaHei" w:eastAsia="MicrosoftYaHei" w:hAnsi="NexusSansOffcPro" w:cs="MicrosoftYaHei" w:hint="eastAsia"/>
          <w:sz w:val="28"/>
          <w:szCs w:val="28"/>
        </w:rPr>
        <w:t>与Elsevier合作，</w:t>
      </w:r>
      <w:r w:rsidR="008D2DA0">
        <w:rPr>
          <w:rFonts w:ascii="MicrosoftYaHei" w:eastAsia="MicrosoftYaHei" w:hAnsi="NexusSansOffcPro" w:cs="MicrosoftYaHei" w:hint="eastAsia"/>
          <w:sz w:val="28"/>
          <w:szCs w:val="28"/>
        </w:rPr>
        <w:t>特别</w:t>
      </w:r>
      <w:r>
        <w:rPr>
          <w:rFonts w:ascii="MicrosoftYaHei" w:eastAsia="MicrosoftYaHei" w:hAnsi="NexusSansOffcPro" w:cs="MicrosoftYaHei" w:hint="eastAsia"/>
          <w:sz w:val="28"/>
          <w:szCs w:val="28"/>
        </w:rPr>
        <w:t>为</w:t>
      </w:r>
      <w:r w:rsidR="00D15697">
        <w:rPr>
          <w:rFonts w:ascii="MicrosoftYaHei" w:eastAsia="MicrosoftYaHei" w:hAnsi="NexusSansOffcPro" w:cs="MicrosoftYaHei" w:hint="eastAsia"/>
          <w:sz w:val="28"/>
          <w:szCs w:val="28"/>
        </w:rPr>
        <w:t>重庆</w:t>
      </w:r>
      <w:r w:rsidR="00AC05B5">
        <w:rPr>
          <w:rFonts w:ascii="MicrosoftYaHei" w:eastAsia="MicrosoftYaHei" w:hAnsi="NexusSansOffcPro" w:cs="MicrosoftYaHei" w:hint="eastAsia"/>
          <w:sz w:val="28"/>
          <w:szCs w:val="28"/>
        </w:rPr>
        <w:t>大学</w:t>
      </w:r>
      <w:r>
        <w:rPr>
          <w:rFonts w:ascii="MicrosoftYaHei" w:eastAsia="MicrosoftYaHei" w:hAnsi="NexusSansOffcPro" w:cs="MicrosoftYaHei" w:hint="eastAsia"/>
          <w:sz w:val="28"/>
          <w:szCs w:val="28"/>
        </w:rPr>
        <w:t>免费</w:t>
      </w:r>
      <w:r w:rsidRPr="00F53283">
        <w:rPr>
          <w:rFonts w:ascii="MicrosoftYaHei" w:eastAsia="MicrosoftYaHei" w:hAnsi="NexusSansOffcPro" w:cs="MicrosoftYaHei" w:hint="eastAsia"/>
          <w:sz w:val="28"/>
          <w:szCs w:val="28"/>
        </w:rPr>
        <w:t>开放</w:t>
      </w:r>
      <w:r w:rsidR="006F03EF">
        <w:rPr>
          <w:rFonts w:ascii="MicrosoftYaHei" w:eastAsia="MicrosoftYaHei" w:hAnsi="NexusSansOffcPro" w:cs="MicrosoftYaHei" w:hint="eastAsia"/>
          <w:sz w:val="28"/>
          <w:szCs w:val="28"/>
        </w:rPr>
        <w:t>其全部电子图书，</w:t>
      </w:r>
      <w:r w:rsidR="0001150B">
        <w:rPr>
          <w:rFonts w:ascii="MicrosoftYaHei" w:eastAsia="MicrosoftYaHei" w:hAnsi="NexusSansOffcPro" w:cs="MicrosoftYaHei" w:hint="eastAsia"/>
          <w:sz w:val="28"/>
          <w:szCs w:val="28"/>
        </w:rPr>
        <w:t>支持</w:t>
      </w:r>
      <w:r w:rsidR="006F03EF">
        <w:rPr>
          <w:rFonts w:ascii="MicrosoftYaHei" w:eastAsia="MicrosoftYaHei" w:hAnsi="NexusSansOffcPro" w:cs="MicrosoftYaHei" w:hint="eastAsia"/>
          <w:sz w:val="28"/>
          <w:szCs w:val="28"/>
        </w:rPr>
        <w:t>老师和同学们远程教学和科研的需求。</w:t>
      </w:r>
    </w:p>
    <w:p w14:paraId="18D71B95" w14:textId="3D5CA575" w:rsidR="0097667C" w:rsidRDefault="0097667C" w:rsidP="00621AA5">
      <w:pPr>
        <w:autoSpaceDE w:val="0"/>
        <w:autoSpaceDN w:val="0"/>
        <w:adjustRightInd w:val="0"/>
        <w:spacing w:after="0" w:line="480" w:lineRule="auto"/>
        <w:rPr>
          <w:rFonts w:ascii="MicrosoftYaHei" w:eastAsia="MicrosoftYaHei" w:hAnsi="NexusSansOffcPro" w:cs="MicrosoftYaHei"/>
          <w:sz w:val="28"/>
          <w:szCs w:val="28"/>
        </w:rPr>
      </w:pPr>
      <w:r>
        <w:rPr>
          <w:rFonts w:ascii="MicrosoftYaHei" w:eastAsia="MicrosoftYaHei" w:hAnsi="NexusSansOffcPro" w:cs="MicrosoftYaHei" w:hint="eastAsia"/>
          <w:sz w:val="28"/>
          <w:szCs w:val="28"/>
        </w:rPr>
        <w:t>拒绝拒访，全平台开通。爱思唯尓ScienceDirect平台电子书全部内容开放试用。</w:t>
      </w:r>
    </w:p>
    <w:p w14:paraId="28EBD1DA" w14:textId="33E91181" w:rsidR="00341233" w:rsidRDefault="00341233" w:rsidP="00341233">
      <w:pPr>
        <w:pStyle w:val="ListParagraph"/>
        <w:spacing w:after="0" w:line="400" w:lineRule="exact"/>
        <w:ind w:left="0" w:firstLine="432"/>
        <w:rPr>
          <w:rFonts w:ascii="微软雅黑" w:eastAsia="微软雅黑" w:hAnsi="微软雅黑" w:cs="Tahoma"/>
        </w:rPr>
      </w:pPr>
      <w:r>
        <w:rPr>
          <w:noProof/>
        </w:rPr>
        <w:lastRenderedPageBreak/>
        <w:drawing>
          <wp:anchor distT="0" distB="0" distL="114300" distR="114300" simplePos="0" relativeHeight="251685888" behindDoc="0" locked="0" layoutInCell="1" allowOverlap="1" wp14:anchorId="6972FDD1" wp14:editId="7B80283E">
            <wp:simplePos x="0" y="0"/>
            <wp:positionH relativeFrom="column">
              <wp:posOffset>215900</wp:posOffset>
            </wp:positionH>
            <wp:positionV relativeFrom="paragraph">
              <wp:posOffset>1438275</wp:posOffset>
            </wp:positionV>
            <wp:extent cx="5016500" cy="245872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16500" cy="2458720"/>
                    </a:xfrm>
                    <a:prstGeom prst="rect">
                      <a:avLst/>
                    </a:prstGeom>
                  </pic:spPr>
                </pic:pic>
              </a:graphicData>
            </a:graphic>
            <wp14:sizeRelH relativeFrom="margin">
              <wp14:pctWidth>0</wp14:pctWidth>
            </wp14:sizeRelH>
            <wp14:sizeRelV relativeFrom="margin">
              <wp14:pctHeight>0</wp14:pctHeight>
            </wp14:sizeRelV>
          </wp:anchor>
        </w:drawing>
      </w:r>
      <w:r w:rsidRPr="00D14331">
        <w:rPr>
          <w:rFonts w:ascii="微软雅黑" w:eastAsia="微软雅黑" w:hAnsi="微软雅黑" w:cs="Tahoma" w:hint="eastAsia"/>
        </w:rPr>
        <w:t>Elsevier的出版历史可追溯回1580年荷兰的</w:t>
      </w:r>
      <w:proofErr w:type="spellStart"/>
      <w:r w:rsidRPr="00D14331">
        <w:rPr>
          <w:rFonts w:ascii="微软雅黑" w:eastAsia="微软雅黑" w:hAnsi="微软雅黑" w:cs="Tahoma" w:hint="eastAsia"/>
        </w:rPr>
        <w:t>Elzevir</w:t>
      </w:r>
      <w:proofErr w:type="spellEnd"/>
      <w:r w:rsidRPr="00D14331">
        <w:rPr>
          <w:rFonts w:ascii="微软雅黑" w:eastAsia="微软雅黑" w:hAnsi="微软雅黑" w:cs="Tahoma" w:hint="eastAsia"/>
        </w:rPr>
        <w:t>家族。数百年来出版了200多位诺贝将得主的著作，包括伽利略、爱因斯坦、弗莱明等。严谨的出版流程与严格的出版程序是图书质量的保证。</w:t>
      </w:r>
      <w:r>
        <w:rPr>
          <w:rFonts w:ascii="微软雅黑" w:eastAsia="微软雅黑" w:hAnsi="微软雅黑" w:cs="Tahoma" w:hint="eastAsia"/>
        </w:rPr>
        <w:t>目前</w:t>
      </w:r>
      <w:r>
        <w:rPr>
          <w:rFonts w:ascii="微软雅黑" w:eastAsia="微软雅黑" w:hAnsi="微软雅黑" w:cs="Tahoma"/>
        </w:rPr>
        <w:t>ScienceDirect</w:t>
      </w:r>
      <w:r>
        <w:rPr>
          <w:rFonts w:ascii="微软雅黑" w:eastAsia="微软雅黑" w:hAnsi="微软雅黑" w:cs="Tahoma" w:hint="eastAsia"/>
        </w:rPr>
        <w:t>平台上</w:t>
      </w:r>
      <w:r w:rsidRPr="005245C3">
        <w:rPr>
          <w:rFonts w:ascii="微软雅黑" w:eastAsia="微软雅黑" w:hAnsi="微软雅黑" w:cs="Tahoma" w:hint="eastAsia"/>
        </w:rPr>
        <w:t>有</w:t>
      </w:r>
      <w:r>
        <w:rPr>
          <w:rFonts w:ascii="微软雅黑" w:eastAsia="微软雅黑" w:hAnsi="微软雅黑" w:cs="Tahoma" w:hint="eastAsia"/>
        </w:rPr>
        <w:t>约</w:t>
      </w:r>
      <w:r w:rsidRPr="005245C3">
        <w:rPr>
          <w:rFonts w:ascii="微软雅黑" w:eastAsia="微软雅黑" w:hAnsi="微软雅黑" w:cs="Tahoma" w:hint="eastAsia"/>
        </w:rPr>
        <w:t>38,000多本电子图书分布在理工学、医学、生命科学和社会人文科学四大类24个学科中</w:t>
      </w:r>
      <w:r>
        <w:rPr>
          <w:rFonts w:ascii="微软雅黑" w:eastAsia="微软雅黑" w:hAnsi="微软雅黑" w:cs="Tahoma" w:hint="eastAsia"/>
        </w:rPr>
        <w:t>，并以每年约1,</w:t>
      </w:r>
      <w:r>
        <w:rPr>
          <w:rFonts w:ascii="微软雅黑" w:eastAsia="微软雅黑" w:hAnsi="微软雅黑" w:cs="Tahoma"/>
        </w:rPr>
        <w:t>500</w:t>
      </w:r>
      <w:r>
        <w:rPr>
          <w:rFonts w:ascii="微软雅黑" w:eastAsia="微软雅黑" w:hAnsi="微软雅黑" w:cs="Tahoma" w:hint="eastAsia"/>
        </w:rPr>
        <w:t>本的速率持续出版</w:t>
      </w:r>
      <w:r w:rsidRPr="005245C3">
        <w:rPr>
          <w:rFonts w:ascii="微软雅黑" w:eastAsia="微软雅黑" w:hAnsi="微软雅黑" w:cs="Tahoma" w:hint="eastAsia"/>
        </w:rPr>
        <w:t>。</w:t>
      </w:r>
      <w:r w:rsidR="00E04F24">
        <w:rPr>
          <w:rFonts w:ascii="微软雅黑" w:eastAsia="微软雅黑" w:hAnsi="微软雅黑" w:cs="Tahoma" w:hint="eastAsia"/>
        </w:rPr>
        <w:t>Elsevier图书汇集</w:t>
      </w:r>
      <w:r w:rsidR="00400F15">
        <w:rPr>
          <w:rFonts w:ascii="微软雅黑" w:eastAsia="微软雅黑" w:hAnsi="微软雅黑" w:cs="Tahoma" w:hint="eastAsia"/>
        </w:rPr>
        <w:t>来自全球的优秀作者，目前重庆大学作者参与了</w:t>
      </w:r>
      <w:r w:rsidR="00586714">
        <w:rPr>
          <w:rFonts w:ascii="微软雅黑" w:eastAsia="微软雅黑" w:hAnsi="微软雅黑" w:cs="Tahoma" w:hint="eastAsia"/>
        </w:rPr>
        <w:t>超过6个Elsevier图书章节的撰写。</w:t>
      </w:r>
    </w:p>
    <w:p w14:paraId="79DE6179" w14:textId="77777777" w:rsidR="00341233" w:rsidRDefault="00341233" w:rsidP="00341233">
      <w:pPr>
        <w:pStyle w:val="ListParagraph"/>
        <w:spacing w:after="0" w:line="400" w:lineRule="exact"/>
        <w:ind w:left="0" w:firstLine="432"/>
        <w:jc w:val="center"/>
        <w:rPr>
          <w:rFonts w:ascii="微软雅黑" w:eastAsia="微软雅黑" w:hAnsi="微软雅黑" w:cs="Tahoma"/>
        </w:rPr>
      </w:pPr>
      <w:r>
        <w:rPr>
          <w:rFonts w:ascii="微软雅黑" w:eastAsia="微软雅黑" w:hAnsi="微软雅黑" w:cs="Tahoma" w:hint="eastAsia"/>
        </w:rPr>
        <w:t>图：爱思唯尓的图书作者们</w:t>
      </w:r>
    </w:p>
    <w:p w14:paraId="4E9A512E" w14:textId="77777777" w:rsidR="00341233" w:rsidRPr="00DD2DB7" w:rsidRDefault="00341233" w:rsidP="00341233">
      <w:pPr>
        <w:spacing w:after="0" w:line="400" w:lineRule="exact"/>
        <w:rPr>
          <w:rFonts w:ascii="微软雅黑" w:eastAsia="微软雅黑" w:hAnsi="微软雅黑" w:cs="Microsoft YaHei UI"/>
          <w:b/>
        </w:rPr>
      </w:pPr>
      <w:r w:rsidRPr="00DD2DB7">
        <w:rPr>
          <w:rFonts w:ascii="微软雅黑" w:eastAsia="微软雅黑" w:hAnsi="微软雅黑" w:cs="Microsoft YaHei UI" w:hint="eastAsia"/>
          <w:b/>
        </w:rPr>
        <w:t>爱思唯尓</w:t>
      </w:r>
      <w:r>
        <w:rPr>
          <w:rFonts w:ascii="微软雅黑" w:eastAsia="微软雅黑" w:hAnsi="微软雅黑" w:cs="Microsoft YaHei UI" w:hint="eastAsia"/>
          <w:b/>
        </w:rPr>
        <w:t>图书</w:t>
      </w:r>
      <w:r w:rsidRPr="00DD2DB7">
        <w:rPr>
          <w:rFonts w:ascii="微软雅黑" w:eastAsia="微软雅黑" w:hAnsi="微软雅黑" w:cs="Microsoft YaHei UI" w:hint="eastAsia"/>
          <w:b/>
        </w:rPr>
        <w:t>出版策略</w:t>
      </w:r>
    </w:p>
    <w:p w14:paraId="71DD8463" w14:textId="77777777" w:rsidR="00341233" w:rsidRDefault="00341233" w:rsidP="00341233">
      <w:pPr>
        <w:pStyle w:val="ListParagraph"/>
        <w:spacing w:after="0" w:line="400" w:lineRule="exact"/>
        <w:ind w:left="0" w:firstLine="432"/>
        <w:rPr>
          <w:rFonts w:ascii="微软雅黑" w:eastAsia="微软雅黑" w:hAnsi="微软雅黑" w:cs="Microsoft YaHei UI"/>
        </w:rPr>
      </w:pPr>
      <w:r>
        <w:rPr>
          <w:rFonts w:ascii="微软雅黑" w:eastAsia="微软雅黑" w:hAnsi="微软雅黑" w:cs="Microsoft YaHei UI" w:hint="eastAsia"/>
        </w:rPr>
        <w:t>通过使用数据分析工具，爱思唯尓在自有出版计划之外，定位“最新”“最热”的领域，确保内容的时效性，完美追踪前沿热点。并且利用大数据分析，找寻领域内的“最佳”作者，为读者地带来</w:t>
      </w:r>
      <w:r w:rsidRPr="00801186">
        <w:rPr>
          <w:rFonts w:ascii="微软雅黑" w:eastAsia="微软雅黑" w:hAnsi="微软雅黑" w:cs="Microsoft YaHei UI" w:hint="eastAsia"/>
        </w:rPr>
        <w:t>提供全面、权威、可靠、可发现、容易搜索并获得的高质量内容。</w:t>
      </w:r>
    </w:p>
    <w:p w14:paraId="6FC409C9" w14:textId="05CC5351" w:rsidR="00341233" w:rsidRDefault="00341233" w:rsidP="00341233">
      <w:pPr>
        <w:pStyle w:val="ListParagraph"/>
        <w:spacing w:after="0" w:line="400" w:lineRule="exact"/>
        <w:ind w:left="0" w:firstLine="432"/>
        <w:rPr>
          <w:rFonts w:ascii="微软雅黑" w:eastAsia="微软雅黑" w:hAnsi="微软雅黑" w:cs="Microsoft YaHei UI"/>
        </w:rPr>
      </w:pPr>
      <w:r>
        <w:rPr>
          <w:rFonts w:ascii="微软雅黑" w:eastAsia="微软雅黑" w:hAnsi="微软雅黑" w:cs="Microsoft YaHei UI"/>
          <w:noProof/>
        </w:rPr>
        <w:drawing>
          <wp:anchor distT="0" distB="0" distL="114300" distR="114300" simplePos="0" relativeHeight="251684864" behindDoc="0" locked="0" layoutInCell="1" allowOverlap="1" wp14:anchorId="7E94D33F" wp14:editId="2E791A7D">
            <wp:simplePos x="0" y="0"/>
            <wp:positionH relativeFrom="column">
              <wp:posOffset>-19050</wp:posOffset>
            </wp:positionH>
            <wp:positionV relativeFrom="paragraph">
              <wp:posOffset>358775</wp:posOffset>
            </wp:positionV>
            <wp:extent cx="5665779" cy="270510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65779" cy="2705100"/>
                    </a:xfrm>
                    <a:prstGeom prst="rect">
                      <a:avLst/>
                    </a:prstGeom>
                    <a:noFill/>
                  </pic:spPr>
                </pic:pic>
              </a:graphicData>
            </a:graphic>
          </wp:anchor>
        </w:drawing>
      </w:r>
    </w:p>
    <w:p w14:paraId="4E510D5C" w14:textId="77777777" w:rsidR="00341233" w:rsidRDefault="00341233" w:rsidP="00341233">
      <w:pPr>
        <w:pStyle w:val="ListParagraph"/>
        <w:spacing w:after="0" w:line="400" w:lineRule="exact"/>
        <w:ind w:left="0" w:firstLine="432"/>
        <w:rPr>
          <w:rFonts w:ascii="微软雅黑" w:eastAsia="微软雅黑" w:hAnsi="微软雅黑" w:cs="Microsoft YaHei UI"/>
          <w:b/>
        </w:rPr>
      </w:pPr>
      <w:r>
        <w:rPr>
          <w:rFonts w:ascii="微软雅黑" w:eastAsia="微软雅黑" w:hAnsi="微软雅黑" w:cs="Microsoft YaHei UI" w:hint="eastAsia"/>
          <w:b/>
        </w:rPr>
        <w:lastRenderedPageBreak/>
        <w:t>图书</w:t>
      </w:r>
      <w:r w:rsidRPr="00B91C2F">
        <w:rPr>
          <w:rFonts w:ascii="微软雅黑" w:eastAsia="微软雅黑" w:hAnsi="微软雅黑" w:cs="Microsoft YaHei UI" w:hint="eastAsia"/>
          <w:b/>
        </w:rPr>
        <w:t>内容的认可度</w:t>
      </w:r>
    </w:p>
    <w:p w14:paraId="35EB6A24" w14:textId="2E3594D8" w:rsidR="00F53283" w:rsidRDefault="00341233" w:rsidP="002C6032">
      <w:pPr>
        <w:pStyle w:val="ListParagraph"/>
        <w:spacing w:after="0" w:line="400" w:lineRule="exact"/>
        <w:ind w:left="0" w:firstLine="432"/>
        <w:rPr>
          <w:rFonts w:ascii="MicrosoftYaHei" w:eastAsia="MicrosoftYaHei" w:hAnsi="NexusSansOffcPro" w:cs="MicrosoftYaHei"/>
          <w:sz w:val="24"/>
          <w:szCs w:val="24"/>
        </w:rPr>
      </w:pPr>
      <w:r>
        <w:rPr>
          <w:rFonts w:ascii="微软雅黑" w:eastAsia="微软雅黑" w:hAnsi="微软雅黑" w:cs="Microsoft YaHei UI" w:hint="eastAsia"/>
        </w:rPr>
        <w:t>在2</w:t>
      </w:r>
      <w:r>
        <w:rPr>
          <w:rFonts w:ascii="微软雅黑" w:eastAsia="微软雅黑" w:hAnsi="微软雅黑" w:cs="Microsoft YaHei UI"/>
        </w:rPr>
        <w:t>019</w:t>
      </w:r>
      <w:r>
        <w:rPr>
          <w:rFonts w:ascii="微软雅黑" w:eastAsia="微软雅黑" w:hAnsi="微软雅黑" w:cs="Microsoft YaHei UI" w:hint="eastAsia"/>
        </w:rPr>
        <w:t>年最新发布的图书引证报告中，爱思唯尓的书均被引量达到</w:t>
      </w:r>
      <w:r>
        <w:rPr>
          <w:rFonts w:ascii="微软雅黑" w:eastAsia="微软雅黑" w:hAnsi="微软雅黑" w:cs="Microsoft YaHei UI"/>
        </w:rPr>
        <w:t>33</w:t>
      </w:r>
      <w:r>
        <w:rPr>
          <w:rFonts w:ascii="微软雅黑" w:eastAsia="微软雅黑" w:hAnsi="微软雅黑" w:cs="Microsoft YaHei UI" w:hint="eastAsia"/>
        </w:rPr>
        <w:t>次，远高于平均水平。</w:t>
      </w:r>
      <w:r w:rsidR="00F22C43" w:rsidRPr="00550206">
        <w:rPr>
          <w:rFonts w:ascii="MicrosoftYaHei" w:eastAsia="MicrosoftYaHei" w:hAnsi="NexusSansOffcPro" w:cs="MicrosoftYaHei" w:hint="eastAsia"/>
          <w:sz w:val="24"/>
          <w:szCs w:val="24"/>
        </w:rPr>
        <w:t>重庆大学目前发表的</w:t>
      </w:r>
      <w:r w:rsidR="00C66CB8" w:rsidRPr="00550206">
        <w:rPr>
          <w:rFonts w:ascii="MicrosoftYaHei" w:eastAsia="MicrosoftYaHei" w:hAnsi="NexusSansOffcPro" w:cs="MicrosoftYaHei" w:hint="eastAsia"/>
          <w:sz w:val="24"/>
          <w:szCs w:val="24"/>
        </w:rPr>
        <w:t>Cell</w:t>
      </w:r>
      <w:r w:rsidR="00C66CB8" w:rsidRPr="00550206">
        <w:rPr>
          <w:rFonts w:ascii="MicrosoftYaHei" w:eastAsia="MicrosoftYaHei" w:hAnsi="NexusSansOffcPro" w:cs="MicrosoftYaHei"/>
          <w:sz w:val="24"/>
          <w:szCs w:val="24"/>
        </w:rPr>
        <w:t>, Nature, Science</w:t>
      </w:r>
      <w:r w:rsidR="00C66CB8" w:rsidRPr="00550206">
        <w:rPr>
          <w:rFonts w:ascii="MicrosoftYaHei" w:eastAsia="MicrosoftYaHei" w:hAnsi="NexusSansOffcPro" w:cs="MicrosoftYaHei" w:hint="eastAsia"/>
          <w:sz w:val="24"/>
          <w:szCs w:val="24"/>
        </w:rPr>
        <w:t>及其子刊和P</w:t>
      </w:r>
      <w:r w:rsidR="00C66CB8" w:rsidRPr="00550206">
        <w:rPr>
          <w:rFonts w:ascii="MicrosoftYaHei" w:eastAsia="MicrosoftYaHei" w:hAnsi="NexusSansOffcPro" w:cs="MicrosoftYaHei"/>
          <w:sz w:val="24"/>
          <w:szCs w:val="24"/>
        </w:rPr>
        <w:t>NAS</w:t>
      </w:r>
      <w:r w:rsidR="00550206">
        <w:rPr>
          <w:rFonts w:ascii="MicrosoftYaHei" w:eastAsia="MicrosoftYaHei" w:hAnsi="NexusSansOffcPro" w:cs="MicrosoftYaHei"/>
          <w:sz w:val="24"/>
          <w:szCs w:val="24"/>
        </w:rPr>
        <w:t xml:space="preserve"> 285</w:t>
      </w:r>
      <w:r w:rsidR="00550206">
        <w:rPr>
          <w:rFonts w:ascii="MicrosoftYaHei" w:eastAsia="MicrosoftYaHei" w:hAnsi="NexusSansOffcPro" w:cs="MicrosoftYaHei" w:hint="eastAsia"/>
          <w:sz w:val="24"/>
          <w:szCs w:val="24"/>
        </w:rPr>
        <w:t>篇文章</w:t>
      </w:r>
      <w:r w:rsidR="00C60CB0">
        <w:rPr>
          <w:rFonts w:ascii="MicrosoftYaHei" w:eastAsia="MicrosoftYaHei" w:hAnsi="NexusSansOffcPro" w:cs="MicrosoftYaHei" w:hint="eastAsia"/>
          <w:sz w:val="24"/>
          <w:szCs w:val="24"/>
        </w:rPr>
        <w:t>中引用的图书中包括了如下</w:t>
      </w:r>
      <w:r w:rsidR="00061D99">
        <w:rPr>
          <w:rFonts w:ascii="MicrosoftYaHei" w:eastAsia="MicrosoftYaHei" w:hAnsi="NexusSansOffcPro" w:cs="MicrosoftYaHei" w:hint="eastAsia"/>
          <w:sz w:val="24"/>
          <w:szCs w:val="24"/>
        </w:rPr>
        <w:t>知名图书</w:t>
      </w:r>
    </w:p>
    <w:p w14:paraId="62AE79A2" w14:textId="3095E1FB" w:rsidR="00BA0B4C" w:rsidRDefault="007757B5" w:rsidP="005A5313">
      <w:pPr>
        <w:autoSpaceDE w:val="0"/>
        <w:autoSpaceDN w:val="0"/>
        <w:adjustRightInd w:val="0"/>
        <w:spacing w:after="0" w:line="240" w:lineRule="auto"/>
        <w:rPr>
          <w:rFonts w:ascii="MicrosoftYaHei" w:eastAsia="MicrosoftYaHei" w:hAnsi="NexusSansOffcPro" w:cs="MicrosoftYaHei"/>
          <w:sz w:val="24"/>
          <w:szCs w:val="24"/>
        </w:rPr>
      </w:pPr>
      <w:r>
        <w:rPr>
          <w:noProof/>
        </w:rPr>
        <mc:AlternateContent>
          <mc:Choice Requires="wps">
            <w:drawing>
              <wp:anchor distT="0" distB="0" distL="114300" distR="114300" simplePos="0" relativeHeight="251699200" behindDoc="0" locked="0" layoutInCell="1" allowOverlap="1" wp14:anchorId="3731296A" wp14:editId="4DFE4FD6">
                <wp:simplePos x="0" y="0"/>
                <wp:positionH relativeFrom="column">
                  <wp:posOffset>1638300</wp:posOffset>
                </wp:positionH>
                <wp:positionV relativeFrom="paragraph">
                  <wp:posOffset>13970</wp:posOffset>
                </wp:positionV>
                <wp:extent cx="4794250" cy="1676400"/>
                <wp:effectExtent l="0" t="0" r="25400" b="19050"/>
                <wp:wrapNone/>
                <wp:docPr id="20" name="Rectangle 20"/>
                <wp:cNvGraphicFramePr/>
                <a:graphic xmlns:a="http://schemas.openxmlformats.org/drawingml/2006/main">
                  <a:graphicData uri="http://schemas.microsoft.com/office/word/2010/wordprocessingShape">
                    <wps:wsp>
                      <wps:cNvSpPr/>
                      <wps:spPr>
                        <a:xfrm>
                          <a:off x="0" y="0"/>
                          <a:ext cx="4794250" cy="1676400"/>
                        </a:xfrm>
                        <a:prstGeom prst="rect">
                          <a:avLst/>
                        </a:prstGeom>
                      </wps:spPr>
                      <wps:style>
                        <a:lnRef idx="2">
                          <a:schemeClr val="dk1"/>
                        </a:lnRef>
                        <a:fillRef idx="1">
                          <a:schemeClr val="lt1"/>
                        </a:fillRef>
                        <a:effectRef idx="0">
                          <a:schemeClr val="dk1"/>
                        </a:effectRef>
                        <a:fontRef idx="minor">
                          <a:schemeClr val="dk1"/>
                        </a:fontRef>
                      </wps:style>
                      <wps:txbx>
                        <w:txbxContent>
                          <w:p w14:paraId="5C961A25" w14:textId="77777777" w:rsidR="00174597" w:rsidRDefault="00174597" w:rsidP="00BA0B4C">
                            <w:pPr>
                              <w:jc w:val="both"/>
                              <w:rPr>
                                <w:sz w:val="28"/>
                                <w:szCs w:val="28"/>
                                <w:lang w:val="en"/>
                              </w:rPr>
                            </w:pPr>
                            <w:r w:rsidRPr="00174597">
                              <w:rPr>
                                <w:sz w:val="28"/>
                                <w:szCs w:val="28"/>
                                <w:lang w:val="en"/>
                              </w:rPr>
                              <w:t>Theory of Simple Liquids</w:t>
                            </w:r>
                          </w:p>
                          <w:p w14:paraId="1908263C" w14:textId="77777777" w:rsidR="00074D23" w:rsidRDefault="00074D23" w:rsidP="00BA0B4C">
                            <w:pPr>
                              <w:jc w:val="both"/>
                              <w:rPr>
                                <w:lang w:val="en"/>
                              </w:rPr>
                            </w:pPr>
                            <w:r w:rsidRPr="00074D23">
                              <w:rPr>
                                <w:lang w:val="en"/>
                              </w:rPr>
                              <w:t>Jean-Pierre Hansen and Ian R. McDonald</w:t>
                            </w:r>
                          </w:p>
                          <w:p w14:paraId="0C39666E" w14:textId="7902451B" w:rsidR="00BA0B4C" w:rsidRDefault="00BA0B4C" w:rsidP="00BA0B4C">
                            <w:pPr>
                              <w:jc w:val="both"/>
                              <w:rPr>
                                <w:lang w:val="en"/>
                              </w:rPr>
                            </w:pPr>
                            <w:r>
                              <w:rPr>
                                <w:lang w:val="en"/>
                              </w:rPr>
                              <w:t>20</w:t>
                            </w:r>
                            <w:r w:rsidR="00074D23">
                              <w:rPr>
                                <w:lang w:val="en"/>
                              </w:rPr>
                              <w:t>06</w:t>
                            </w:r>
                          </w:p>
                          <w:p w14:paraId="111B386B" w14:textId="6446CC4D" w:rsidR="00BA0B4C" w:rsidRPr="00A81DE9" w:rsidRDefault="00BA0B4C" w:rsidP="00BA0B4C">
                            <w:pPr>
                              <w:jc w:val="both"/>
                              <w:rPr>
                                <w:lang w:val="en"/>
                              </w:rPr>
                            </w:pPr>
                            <w:r>
                              <w:rPr>
                                <w:rFonts w:hint="eastAsia"/>
                                <w:lang w:val="en"/>
                              </w:rPr>
                              <w:t>简介：本书</w:t>
                            </w:r>
                            <w:r w:rsidR="008E568F" w:rsidRPr="008E568F">
                              <w:rPr>
                                <w:rFonts w:hint="eastAsia"/>
                                <w:lang w:val="en"/>
                              </w:rPr>
                              <w:t>介绍了由原子，小分子或离子组成的材料的液相结构，热力学界面和动力学性质的现代分子理论。</w:t>
                            </w:r>
                            <w:r w:rsidRPr="00A81DE9">
                              <w:rPr>
                                <w:rFonts w:hint="eastAsia"/>
                                <w:lang w:val="en"/>
                              </w:rPr>
                              <w:t>。</w:t>
                            </w:r>
                          </w:p>
                          <w:p w14:paraId="5C502C06" w14:textId="489CECB8" w:rsidR="00BA0B4C" w:rsidRPr="00A81DE9" w:rsidRDefault="00BA0B4C" w:rsidP="00BA0B4C">
                            <w:pPr>
                              <w:jc w:val="both"/>
                              <w:rPr>
                                <w:lang w:val="en"/>
                              </w:rPr>
                            </w:pPr>
                            <w:r>
                              <w:rPr>
                                <w:rFonts w:hint="eastAsia"/>
                                <w:lang w:val="en"/>
                              </w:rPr>
                              <w:t>总被引次数：</w:t>
                            </w:r>
                            <w:r w:rsidR="008D5F04">
                              <w:rPr>
                                <w:lang w:val="en"/>
                              </w:rPr>
                              <w:t>2,46</w:t>
                            </w:r>
                            <w:r w:rsidR="007757B5">
                              <w:rPr>
                                <w:lang w:val="en"/>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31296A" id="Rectangle 20" o:spid="_x0000_s1026" style="position:absolute;margin-left:129pt;margin-top:1.1pt;width:377.5pt;height:132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" fillcolor="white [3201]" strokecolor="black [3200]" strokeweight="1pt">
                <v:textbox>
                  <w:txbxContent>
                    <w:p w14:paraId="5C961A25" w14:textId="77777777" w:rsidR="00174597" w:rsidRDefault="00174597" w:rsidP="00BA0B4C">
                      <w:pPr>
                        <w:jc w:val="both"/>
                        <w:rPr>
                          <w:sz w:val="28"/>
                          <w:szCs w:val="28"/>
                          <w:lang w:val="en"/>
                        </w:rPr>
                      </w:pPr>
                      <w:r w:rsidRPr="00174597">
                        <w:rPr>
                          <w:sz w:val="28"/>
                          <w:szCs w:val="28"/>
                          <w:lang w:val="en"/>
                        </w:rPr>
                        <w:t>Theory of Simple Liquids</w:t>
                      </w:r>
                    </w:p>
                    <w:p w14:paraId="1908263C" w14:textId="77777777" w:rsidR="00074D23" w:rsidRDefault="00074D23" w:rsidP="00BA0B4C">
                      <w:pPr>
                        <w:jc w:val="both"/>
                        <w:rPr>
                          <w:lang w:val="en"/>
                        </w:rPr>
                      </w:pPr>
                      <w:r w:rsidRPr="00074D23">
                        <w:rPr>
                          <w:lang w:val="en"/>
                        </w:rPr>
                        <w:t>Jean-Pierre Hansen and Ian R. McDonald</w:t>
                      </w:r>
                    </w:p>
                    <w:p w14:paraId="0C39666E" w14:textId="7902451B" w:rsidR="00BA0B4C" w:rsidRDefault="00BA0B4C" w:rsidP="00BA0B4C">
                      <w:pPr>
                        <w:jc w:val="both"/>
                        <w:rPr>
                          <w:lang w:val="en"/>
                        </w:rPr>
                      </w:pPr>
                      <w:r>
                        <w:rPr>
                          <w:lang w:val="en"/>
                        </w:rPr>
                        <w:t>20</w:t>
                      </w:r>
                      <w:r w:rsidR="00074D23">
                        <w:rPr>
                          <w:lang w:val="en"/>
                        </w:rPr>
                        <w:t>06</w:t>
                      </w:r>
                    </w:p>
                    <w:p w14:paraId="111B386B" w14:textId="6446CC4D" w:rsidR="00BA0B4C" w:rsidRPr="00A81DE9" w:rsidRDefault="00BA0B4C" w:rsidP="00BA0B4C">
                      <w:pPr>
                        <w:jc w:val="both"/>
                        <w:rPr>
                          <w:lang w:val="en"/>
                        </w:rPr>
                      </w:pPr>
                      <w:r>
                        <w:rPr>
                          <w:rFonts w:hint="eastAsia"/>
                          <w:lang w:val="en"/>
                        </w:rPr>
                        <w:t>简介：本书</w:t>
                      </w:r>
                      <w:r w:rsidR="008E568F" w:rsidRPr="008E568F">
                        <w:rPr>
                          <w:rFonts w:hint="eastAsia"/>
                          <w:lang w:val="en"/>
                        </w:rPr>
                        <w:t>介绍了由原子，小分子或离子组成的材料的液相结构，热力学界面和动力学性质的现代分子理论。</w:t>
                      </w:r>
                      <w:r w:rsidRPr="00A81DE9">
                        <w:rPr>
                          <w:rFonts w:hint="eastAsia"/>
                          <w:lang w:val="en"/>
                        </w:rPr>
                        <w:t>。</w:t>
                      </w:r>
                    </w:p>
                    <w:p w14:paraId="5C502C06" w14:textId="489CECB8" w:rsidR="00BA0B4C" w:rsidRPr="00A81DE9" w:rsidRDefault="00BA0B4C" w:rsidP="00BA0B4C">
                      <w:pPr>
                        <w:jc w:val="both"/>
                        <w:rPr>
                          <w:lang w:val="en"/>
                        </w:rPr>
                      </w:pPr>
                      <w:r>
                        <w:rPr>
                          <w:rFonts w:hint="eastAsia"/>
                          <w:lang w:val="en"/>
                        </w:rPr>
                        <w:t>总被引次数：</w:t>
                      </w:r>
                      <w:r w:rsidR="008D5F04">
                        <w:rPr>
                          <w:lang w:val="en"/>
                        </w:rPr>
                        <w:t>2,46</w:t>
                      </w:r>
                      <w:r w:rsidR="007757B5">
                        <w:rPr>
                          <w:lang w:val="en"/>
                        </w:rPr>
                        <w:t>4</w:t>
                      </w:r>
                    </w:p>
                  </w:txbxContent>
                </v:textbox>
              </v:rect>
            </w:pict>
          </mc:Fallback>
        </mc:AlternateContent>
      </w:r>
      <w:r>
        <w:rPr>
          <w:noProof/>
        </w:rPr>
        <w:drawing>
          <wp:inline distT="0" distB="0" distL="0" distR="0" wp14:anchorId="443F9AFE" wp14:editId="729A1A43">
            <wp:extent cx="1052989" cy="1571625"/>
            <wp:effectExtent l="0" t="0" r="0" b="0"/>
            <wp:docPr id="21" name="Picture 21" descr="Cover for Theory of Simple Liqu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Theory of Simple Liquid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8823" cy="1580332"/>
                    </a:xfrm>
                    <a:prstGeom prst="rect">
                      <a:avLst/>
                    </a:prstGeom>
                    <a:noFill/>
                    <a:ln>
                      <a:noFill/>
                    </a:ln>
                  </pic:spPr>
                </pic:pic>
              </a:graphicData>
            </a:graphic>
          </wp:inline>
        </w:drawing>
      </w:r>
    </w:p>
    <w:p w14:paraId="66B1A657" w14:textId="09660053" w:rsidR="00BA0B4C" w:rsidRDefault="00BA0B4C" w:rsidP="005A5313">
      <w:pPr>
        <w:autoSpaceDE w:val="0"/>
        <w:autoSpaceDN w:val="0"/>
        <w:adjustRightInd w:val="0"/>
        <w:spacing w:after="0" w:line="240" w:lineRule="auto"/>
        <w:rPr>
          <w:rFonts w:ascii="MicrosoftYaHei" w:eastAsia="MicrosoftYaHei" w:hAnsi="NexusSansOffcPro" w:cs="MicrosoftYaHei"/>
          <w:sz w:val="24"/>
          <w:szCs w:val="24"/>
        </w:rPr>
      </w:pPr>
    </w:p>
    <w:p w14:paraId="7DE6B58C" w14:textId="311FB704" w:rsidR="00BA0B4C" w:rsidRDefault="00BD5F2D" w:rsidP="005A5313">
      <w:pPr>
        <w:autoSpaceDE w:val="0"/>
        <w:autoSpaceDN w:val="0"/>
        <w:adjustRightInd w:val="0"/>
        <w:spacing w:after="0" w:line="240" w:lineRule="auto"/>
        <w:rPr>
          <w:rFonts w:ascii="MicrosoftYaHei" w:eastAsia="MicrosoftYaHei" w:hAnsi="NexusSansOffcPro" w:cs="MicrosoftYaHei"/>
          <w:sz w:val="24"/>
          <w:szCs w:val="24"/>
        </w:rPr>
      </w:pPr>
      <w:r>
        <w:rPr>
          <w:noProof/>
        </w:rPr>
        <mc:AlternateContent>
          <mc:Choice Requires="wps">
            <w:drawing>
              <wp:anchor distT="0" distB="0" distL="114300" distR="114300" simplePos="0" relativeHeight="251701248" behindDoc="0" locked="0" layoutInCell="1" allowOverlap="1" wp14:anchorId="28316017" wp14:editId="318B95B9">
                <wp:simplePos x="0" y="0"/>
                <wp:positionH relativeFrom="column">
                  <wp:posOffset>1714500</wp:posOffset>
                </wp:positionH>
                <wp:positionV relativeFrom="paragraph">
                  <wp:posOffset>142875</wp:posOffset>
                </wp:positionV>
                <wp:extent cx="4794250" cy="1924050"/>
                <wp:effectExtent l="0" t="0" r="25400" b="19050"/>
                <wp:wrapNone/>
                <wp:docPr id="23" name="Rectangle 23"/>
                <wp:cNvGraphicFramePr/>
                <a:graphic xmlns:a="http://schemas.openxmlformats.org/drawingml/2006/main">
                  <a:graphicData uri="http://schemas.microsoft.com/office/word/2010/wordprocessingShape">
                    <wps:wsp>
                      <wps:cNvSpPr/>
                      <wps:spPr>
                        <a:xfrm>
                          <a:off x="0" y="0"/>
                          <a:ext cx="4794250" cy="1924050"/>
                        </a:xfrm>
                        <a:prstGeom prst="rect">
                          <a:avLst/>
                        </a:prstGeom>
                      </wps:spPr>
                      <wps:style>
                        <a:lnRef idx="2">
                          <a:schemeClr val="dk1"/>
                        </a:lnRef>
                        <a:fillRef idx="1">
                          <a:schemeClr val="lt1"/>
                        </a:fillRef>
                        <a:effectRef idx="0">
                          <a:schemeClr val="dk1"/>
                        </a:effectRef>
                        <a:fontRef idx="minor">
                          <a:schemeClr val="dk1"/>
                        </a:fontRef>
                      </wps:style>
                      <wps:txbx>
                        <w:txbxContent>
                          <w:p w14:paraId="4C16C217" w14:textId="77777777" w:rsidR="00BD5F2D" w:rsidRDefault="00BD5F2D" w:rsidP="00BD5F2D">
                            <w:pPr>
                              <w:jc w:val="both"/>
                              <w:rPr>
                                <w:sz w:val="28"/>
                                <w:szCs w:val="28"/>
                                <w:lang w:val="en"/>
                              </w:rPr>
                            </w:pPr>
                            <w:r w:rsidRPr="00174597">
                              <w:rPr>
                                <w:sz w:val="28"/>
                                <w:szCs w:val="28"/>
                                <w:lang w:val="en"/>
                              </w:rPr>
                              <w:t>Theory of Simple Liquids</w:t>
                            </w:r>
                          </w:p>
                          <w:p w14:paraId="333190DF" w14:textId="77777777" w:rsidR="00840AB6" w:rsidRDefault="00840AB6" w:rsidP="00BD5F2D">
                            <w:pPr>
                              <w:jc w:val="both"/>
                              <w:rPr>
                                <w:lang w:val="en"/>
                              </w:rPr>
                            </w:pPr>
                            <w:r w:rsidRPr="00840AB6">
                              <w:rPr>
                                <w:lang w:val="en"/>
                              </w:rPr>
                              <w:t>Hideo Togo</w:t>
                            </w:r>
                          </w:p>
                          <w:p w14:paraId="2679C5A7" w14:textId="329B4345" w:rsidR="00BD5F2D" w:rsidRDefault="00BD5F2D" w:rsidP="00BD5F2D">
                            <w:pPr>
                              <w:jc w:val="both"/>
                              <w:rPr>
                                <w:lang w:val="en"/>
                              </w:rPr>
                            </w:pPr>
                            <w:r>
                              <w:rPr>
                                <w:lang w:val="en"/>
                              </w:rPr>
                              <w:t>200</w:t>
                            </w:r>
                            <w:r w:rsidR="00840AB6">
                              <w:rPr>
                                <w:lang w:val="en"/>
                              </w:rPr>
                              <w:t>4</w:t>
                            </w:r>
                          </w:p>
                          <w:p w14:paraId="28A06DB0" w14:textId="42B04A0E" w:rsidR="00BD5F2D" w:rsidRDefault="00BD5F2D" w:rsidP="00BD5F2D">
                            <w:pPr>
                              <w:jc w:val="both"/>
                              <w:rPr>
                                <w:lang w:val="en"/>
                              </w:rPr>
                            </w:pPr>
                            <w:r>
                              <w:rPr>
                                <w:rFonts w:hint="eastAsia"/>
                                <w:lang w:val="en"/>
                              </w:rPr>
                              <w:t>简介：本书</w:t>
                            </w:r>
                            <w:r w:rsidR="001655EE">
                              <w:rPr>
                                <w:rFonts w:hint="eastAsia"/>
                                <w:lang w:val="en"/>
                              </w:rPr>
                              <w:t>综述了</w:t>
                            </w:r>
                            <w:r w:rsidR="001655EE" w:rsidRPr="001655EE">
                              <w:rPr>
                                <w:rFonts w:hint="eastAsia"/>
                                <w:lang w:val="en"/>
                              </w:rPr>
                              <w:t>所有类型的自由基反应的信息，例如环化，加成，氢原子抽象，脱羧反应。这本书提供了最重要反应的实验细节，以及对原始文献的大量参考。</w:t>
                            </w:r>
                          </w:p>
                          <w:p w14:paraId="0015E3C4" w14:textId="706406E0" w:rsidR="0035531F" w:rsidRDefault="0035531F" w:rsidP="00BD5F2D">
                            <w:pPr>
                              <w:jc w:val="both"/>
                              <w:rPr>
                                <w:lang w:val="en"/>
                              </w:rPr>
                            </w:pPr>
                            <w:r>
                              <w:rPr>
                                <w:rFonts w:hint="eastAsia"/>
                                <w:lang w:val="en"/>
                              </w:rPr>
                              <w:t>总被引次数：</w:t>
                            </w:r>
                            <w:r>
                              <w:rPr>
                                <w:rFonts w:hint="eastAsia"/>
                                <w:lang w:val="en"/>
                              </w:rPr>
                              <w:t>2</w:t>
                            </w:r>
                            <w:r>
                              <w:rPr>
                                <w:lang w:val="en"/>
                              </w:rPr>
                              <w:t>68</w:t>
                            </w:r>
                          </w:p>
                          <w:p w14:paraId="66E7328A" w14:textId="77777777" w:rsidR="0035531F" w:rsidRPr="001655EE" w:rsidRDefault="0035531F" w:rsidP="00BD5F2D">
                            <w:pPr>
                              <w:jc w:val="both"/>
                            </w:pPr>
                          </w:p>
                          <w:p w14:paraId="2D9CC07F" w14:textId="77777777" w:rsidR="00BD5F2D" w:rsidRPr="00A81DE9" w:rsidRDefault="00BD5F2D" w:rsidP="00BD5F2D">
                            <w:pPr>
                              <w:jc w:val="both"/>
                              <w:rPr>
                                <w:lang w:val="en"/>
                              </w:rPr>
                            </w:pPr>
                            <w:r>
                              <w:rPr>
                                <w:rFonts w:hint="eastAsia"/>
                                <w:lang w:val="en"/>
                              </w:rPr>
                              <w:t>总被引次数：</w:t>
                            </w:r>
                            <w:r>
                              <w:rPr>
                                <w:lang w:val="en"/>
                              </w:rPr>
                              <w:t>2,464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16017" id="Rectangle 23" o:spid="_x0000_s1027" style="position:absolute;margin-left:135pt;margin-top:11.25pt;width:377.5pt;height:151.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" fillcolor="white [3201]" strokecolor="black [3200]" strokeweight="1pt">
                <v:textbox>
                  <w:txbxContent>
                    <w:p w14:paraId="4C16C217" w14:textId="77777777" w:rsidR="00BD5F2D" w:rsidRDefault="00BD5F2D" w:rsidP="00BD5F2D">
                      <w:pPr>
                        <w:jc w:val="both"/>
                        <w:rPr>
                          <w:sz w:val="28"/>
                          <w:szCs w:val="28"/>
                          <w:lang w:val="en"/>
                        </w:rPr>
                      </w:pPr>
                      <w:r w:rsidRPr="00174597">
                        <w:rPr>
                          <w:sz w:val="28"/>
                          <w:szCs w:val="28"/>
                          <w:lang w:val="en"/>
                        </w:rPr>
                        <w:t>Theory of Simple Liquids</w:t>
                      </w:r>
                    </w:p>
                    <w:p w14:paraId="333190DF" w14:textId="77777777" w:rsidR="00840AB6" w:rsidRDefault="00840AB6" w:rsidP="00BD5F2D">
                      <w:pPr>
                        <w:jc w:val="both"/>
                        <w:rPr>
                          <w:lang w:val="en"/>
                        </w:rPr>
                      </w:pPr>
                      <w:r w:rsidRPr="00840AB6">
                        <w:rPr>
                          <w:lang w:val="en"/>
                        </w:rPr>
                        <w:t>Hideo Togo</w:t>
                      </w:r>
                    </w:p>
                    <w:p w14:paraId="2679C5A7" w14:textId="329B4345" w:rsidR="00BD5F2D" w:rsidRDefault="00BD5F2D" w:rsidP="00BD5F2D">
                      <w:pPr>
                        <w:jc w:val="both"/>
                        <w:rPr>
                          <w:lang w:val="en"/>
                        </w:rPr>
                      </w:pPr>
                      <w:r>
                        <w:rPr>
                          <w:lang w:val="en"/>
                        </w:rPr>
                        <w:t>200</w:t>
                      </w:r>
                      <w:r w:rsidR="00840AB6">
                        <w:rPr>
                          <w:lang w:val="en"/>
                        </w:rPr>
                        <w:t>4</w:t>
                      </w:r>
                    </w:p>
                    <w:p w14:paraId="28A06DB0" w14:textId="42B04A0E" w:rsidR="00BD5F2D" w:rsidRDefault="00BD5F2D" w:rsidP="00BD5F2D">
                      <w:pPr>
                        <w:jc w:val="both"/>
                        <w:rPr>
                          <w:lang w:val="en"/>
                        </w:rPr>
                      </w:pPr>
                      <w:r>
                        <w:rPr>
                          <w:rFonts w:hint="eastAsia"/>
                          <w:lang w:val="en"/>
                        </w:rPr>
                        <w:t>简介：本书</w:t>
                      </w:r>
                      <w:r w:rsidR="001655EE">
                        <w:rPr>
                          <w:rFonts w:hint="eastAsia"/>
                          <w:lang w:val="en"/>
                        </w:rPr>
                        <w:t>综述了</w:t>
                      </w:r>
                      <w:r w:rsidR="001655EE" w:rsidRPr="001655EE">
                        <w:rPr>
                          <w:rFonts w:hint="eastAsia"/>
                          <w:lang w:val="en"/>
                        </w:rPr>
                        <w:t>所有类型的自由基反应的信息，例如环化，加成，氢原子抽象，脱羧反应。这本书提供了最重要反应的实验细节，以及对原始文献的大量参考。</w:t>
                      </w:r>
                    </w:p>
                    <w:p w14:paraId="0015E3C4" w14:textId="706406E0" w:rsidR="0035531F" w:rsidRDefault="0035531F" w:rsidP="00BD5F2D">
                      <w:pPr>
                        <w:jc w:val="both"/>
                        <w:rPr>
                          <w:lang w:val="en"/>
                        </w:rPr>
                      </w:pPr>
                      <w:r>
                        <w:rPr>
                          <w:rFonts w:hint="eastAsia"/>
                          <w:lang w:val="en"/>
                        </w:rPr>
                        <w:t>总被引次数：</w:t>
                      </w:r>
                      <w:r>
                        <w:rPr>
                          <w:rFonts w:hint="eastAsia"/>
                          <w:lang w:val="en"/>
                        </w:rPr>
                        <w:t>2</w:t>
                      </w:r>
                      <w:r>
                        <w:rPr>
                          <w:lang w:val="en"/>
                        </w:rPr>
                        <w:t>68</w:t>
                      </w:r>
                    </w:p>
                    <w:p w14:paraId="66E7328A" w14:textId="77777777" w:rsidR="0035531F" w:rsidRPr="001655EE" w:rsidRDefault="0035531F" w:rsidP="00BD5F2D">
                      <w:pPr>
                        <w:jc w:val="both"/>
                      </w:pPr>
                    </w:p>
                    <w:p w14:paraId="2D9CC07F" w14:textId="77777777" w:rsidR="00BD5F2D" w:rsidRPr="00A81DE9" w:rsidRDefault="00BD5F2D" w:rsidP="00BD5F2D">
                      <w:pPr>
                        <w:jc w:val="both"/>
                        <w:rPr>
                          <w:lang w:val="en"/>
                        </w:rPr>
                      </w:pPr>
                      <w:r>
                        <w:rPr>
                          <w:rFonts w:hint="eastAsia"/>
                          <w:lang w:val="en"/>
                        </w:rPr>
                        <w:t>总被引次数：</w:t>
                      </w:r>
                      <w:r>
                        <w:rPr>
                          <w:lang w:val="en"/>
                        </w:rPr>
                        <w:t>2,464</w:t>
                      </w:r>
                    </w:p>
                  </w:txbxContent>
                </v:textbox>
              </v:rect>
            </w:pict>
          </mc:Fallback>
        </mc:AlternateContent>
      </w:r>
    </w:p>
    <w:p w14:paraId="37B9C2CD" w14:textId="7B240D50" w:rsidR="00BA0B4C" w:rsidRDefault="00BD5F2D" w:rsidP="005A5313">
      <w:pPr>
        <w:autoSpaceDE w:val="0"/>
        <w:autoSpaceDN w:val="0"/>
        <w:adjustRightInd w:val="0"/>
        <w:spacing w:after="0" w:line="240" w:lineRule="auto"/>
        <w:rPr>
          <w:rFonts w:ascii="MicrosoftYaHei" w:eastAsia="MicrosoftYaHei" w:hAnsi="NexusSansOffcPro" w:cs="MicrosoftYaHei"/>
          <w:sz w:val="24"/>
          <w:szCs w:val="24"/>
        </w:rPr>
      </w:pPr>
      <w:r>
        <w:rPr>
          <w:noProof/>
        </w:rPr>
        <w:drawing>
          <wp:inline distT="0" distB="0" distL="0" distR="0" wp14:anchorId="338A008E" wp14:editId="37BDC18C">
            <wp:extent cx="1066800" cy="1534964"/>
            <wp:effectExtent l="0" t="0" r="0" b="8255"/>
            <wp:docPr id="22" name="Picture 22" descr="Cover for Advanced Free Radical Reactions for Organic Sy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for Advanced Free Radical Reactions for Organic Synthes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1175" cy="1541259"/>
                    </a:xfrm>
                    <a:prstGeom prst="rect">
                      <a:avLst/>
                    </a:prstGeom>
                    <a:noFill/>
                    <a:ln>
                      <a:noFill/>
                    </a:ln>
                  </pic:spPr>
                </pic:pic>
              </a:graphicData>
            </a:graphic>
          </wp:inline>
        </w:drawing>
      </w:r>
    </w:p>
    <w:p w14:paraId="160DBAD5" w14:textId="27C52851" w:rsidR="00BA0B4C" w:rsidRDefault="00BA0B4C" w:rsidP="005A5313">
      <w:pPr>
        <w:autoSpaceDE w:val="0"/>
        <w:autoSpaceDN w:val="0"/>
        <w:adjustRightInd w:val="0"/>
        <w:spacing w:after="0" w:line="240" w:lineRule="auto"/>
        <w:rPr>
          <w:rFonts w:ascii="MicrosoftYaHei" w:eastAsia="MicrosoftYaHei" w:hAnsi="NexusSansOffcPro" w:cs="MicrosoftYaHei"/>
          <w:sz w:val="24"/>
          <w:szCs w:val="24"/>
        </w:rPr>
      </w:pPr>
    </w:p>
    <w:p w14:paraId="51A861F9" w14:textId="77777777" w:rsidR="00BA0B4C" w:rsidRDefault="00BA0B4C" w:rsidP="005A5313">
      <w:pPr>
        <w:autoSpaceDE w:val="0"/>
        <w:autoSpaceDN w:val="0"/>
        <w:adjustRightInd w:val="0"/>
        <w:spacing w:after="0" w:line="240" w:lineRule="auto"/>
        <w:rPr>
          <w:rFonts w:ascii="MicrosoftYaHei" w:eastAsia="MicrosoftYaHei" w:hAnsi="NexusSansOffcPro" w:cs="MicrosoftYaHei"/>
          <w:sz w:val="24"/>
          <w:szCs w:val="24"/>
        </w:rPr>
      </w:pPr>
    </w:p>
    <w:p w14:paraId="72C71FF7" w14:textId="5C00A17C" w:rsidR="00BA0B4C" w:rsidRDefault="00542A08" w:rsidP="005A5313">
      <w:pPr>
        <w:autoSpaceDE w:val="0"/>
        <w:autoSpaceDN w:val="0"/>
        <w:adjustRightInd w:val="0"/>
        <w:spacing w:after="0" w:line="240" w:lineRule="auto"/>
        <w:rPr>
          <w:rFonts w:ascii="MicrosoftYaHei" w:eastAsia="MicrosoftYaHei" w:hAnsi="NexusSansOffcPro" w:cs="MicrosoftYaHei"/>
          <w:sz w:val="24"/>
          <w:szCs w:val="24"/>
        </w:rPr>
      </w:pPr>
      <w:r>
        <w:rPr>
          <w:noProof/>
        </w:rPr>
        <mc:AlternateContent>
          <mc:Choice Requires="wps">
            <w:drawing>
              <wp:anchor distT="0" distB="0" distL="114300" distR="114300" simplePos="0" relativeHeight="251703296" behindDoc="0" locked="0" layoutInCell="1" allowOverlap="1" wp14:anchorId="2002DB5F" wp14:editId="79694A71">
                <wp:simplePos x="0" y="0"/>
                <wp:positionH relativeFrom="column">
                  <wp:posOffset>1704975</wp:posOffset>
                </wp:positionH>
                <wp:positionV relativeFrom="paragraph">
                  <wp:posOffset>6350</wp:posOffset>
                </wp:positionV>
                <wp:extent cx="4794250" cy="1695450"/>
                <wp:effectExtent l="0" t="0" r="25400" b="19050"/>
                <wp:wrapNone/>
                <wp:docPr id="27" name="Rectangle 27"/>
                <wp:cNvGraphicFramePr/>
                <a:graphic xmlns:a="http://schemas.openxmlformats.org/drawingml/2006/main">
                  <a:graphicData uri="http://schemas.microsoft.com/office/word/2010/wordprocessingShape">
                    <wps:wsp>
                      <wps:cNvSpPr/>
                      <wps:spPr>
                        <a:xfrm>
                          <a:off x="0" y="0"/>
                          <a:ext cx="4794250" cy="1695450"/>
                        </a:xfrm>
                        <a:prstGeom prst="rect">
                          <a:avLst/>
                        </a:prstGeom>
                      </wps:spPr>
                      <wps:style>
                        <a:lnRef idx="2">
                          <a:schemeClr val="dk1"/>
                        </a:lnRef>
                        <a:fillRef idx="1">
                          <a:schemeClr val="lt1"/>
                        </a:fillRef>
                        <a:effectRef idx="0">
                          <a:schemeClr val="dk1"/>
                        </a:effectRef>
                        <a:fontRef idx="minor">
                          <a:schemeClr val="dk1"/>
                        </a:fontRef>
                      </wps:style>
                      <wps:txbx>
                        <w:txbxContent>
                          <w:p w14:paraId="36E6D58D" w14:textId="77777777" w:rsidR="005E1F39" w:rsidRDefault="005E1F39" w:rsidP="004112C3">
                            <w:pPr>
                              <w:jc w:val="both"/>
                              <w:rPr>
                                <w:sz w:val="28"/>
                                <w:szCs w:val="28"/>
                                <w:lang w:val="en"/>
                              </w:rPr>
                            </w:pPr>
                            <w:r w:rsidRPr="005E1F39">
                              <w:rPr>
                                <w:sz w:val="28"/>
                                <w:szCs w:val="28"/>
                                <w:lang w:val="en"/>
                              </w:rPr>
                              <w:t>Dislocations in Solids</w:t>
                            </w:r>
                          </w:p>
                          <w:p w14:paraId="59B57615" w14:textId="19B10227" w:rsidR="009409B4" w:rsidRDefault="009409B4" w:rsidP="004112C3">
                            <w:pPr>
                              <w:jc w:val="both"/>
                              <w:rPr>
                                <w:lang w:val="en"/>
                              </w:rPr>
                            </w:pPr>
                            <w:proofErr w:type="spellStart"/>
                            <w:r w:rsidRPr="009409B4">
                              <w:rPr>
                                <w:lang w:val="en"/>
                              </w:rPr>
                              <w:t>T.</w:t>
                            </w:r>
                            <w:proofErr w:type="gramStart"/>
                            <w:r w:rsidRPr="009409B4">
                              <w:rPr>
                                <w:lang w:val="en"/>
                              </w:rPr>
                              <w:t>E.Mitchell</w:t>
                            </w:r>
                            <w:proofErr w:type="spellEnd"/>
                            <w:proofErr w:type="gramEnd"/>
                            <w:r w:rsidR="003F6CD3">
                              <w:rPr>
                                <w:lang w:val="en"/>
                              </w:rPr>
                              <w:t xml:space="preserve"> </w:t>
                            </w:r>
                            <w:proofErr w:type="spellStart"/>
                            <w:r w:rsidRPr="009409B4">
                              <w:rPr>
                                <w:lang w:val="en"/>
                              </w:rPr>
                              <w:t>A.H.Heuer</w:t>
                            </w:r>
                            <w:proofErr w:type="spellEnd"/>
                          </w:p>
                          <w:p w14:paraId="5555B3CC" w14:textId="3203E002" w:rsidR="004112C3" w:rsidRDefault="004112C3" w:rsidP="004112C3">
                            <w:pPr>
                              <w:jc w:val="both"/>
                              <w:rPr>
                                <w:lang w:val="en"/>
                              </w:rPr>
                            </w:pPr>
                            <w:r>
                              <w:rPr>
                                <w:lang w:val="en"/>
                              </w:rPr>
                              <w:t>2004</w:t>
                            </w:r>
                          </w:p>
                          <w:p w14:paraId="53DF8707" w14:textId="03E5525C" w:rsidR="004112C3" w:rsidRPr="00AB75C7" w:rsidRDefault="004112C3" w:rsidP="004112C3">
                            <w:pPr>
                              <w:jc w:val="both"/>
                            </w:pPr>
                            <w:r>
                              <w:rPr>
                                <w:rFonts w:hint="eastAsia"/>
                                <w:lang w:val="en"/>
                              </w:rPr>
                              <w:t>简介：</w:t>
                            </w:r>
                            <w:r w:rsidR="00AB75C7">
                              <w:rPr>
                                <w:rFonts w:hint="eastAsia"/>
                                <w:lang w:val="en"/>
                              </w:rPr>
                              <w:t>本章节作为知名丛书一个章介绍了</w:t>
                            </w:r>
                            <w:r w:rsidR="00AB75C7" w:rsidRPr="00AB75C7">
                              <w:rPr>
                                <w:rFonts w:hint="eastAsia"/>
                                <w:lang w:val="en"/>
                              </w:rPr>
                              <w:t>陶瓷的位错和力学性能</w:t>
                            </w:r>
                          </w:p>
                          <w:p w14:paraId="1C270F5E" w14:textId="4D127C52" w:rsidR="004112C3" w:rsidRPr="001655EE" w:rsidRDefault="004112C3" w:rsidP="004112C3">
                            <w:pPr>
                              <w:jc w:val="both"/>
                            </w:pPr>
                            <w:r>
                              <w:rPr>
                                <w:rFonts w:hint="eastAsia"/>
                                <w:lang w:val="en"/>
                              </w:rPr>
                              <w:t>总被引次数：</w:t>
                            </w:r>
                            <w:r>
                              <w:rPr>
                                <w:lang w:val="en"/>
                              </w:rPr>
                              <w:t>16</w:t>
                            </w:r>
                            <w:r>
                              <w:rPr>
                                <w:rFonts w:hint="eastAsia"/>
                                <w:lang w:val="en"/>
                              </w:rPr>
                              <w:t>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02DB5F" id="Rectangle 27" o:spid="_x0000_s1028" style="position:absolute;margin-left:134.25pt;margin-top:.5pt;width:377.5pt;height:133.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" fillcolor="white [3201]" strokecolor="black [3200]" strokeweight="1pt">
                <v:textbox>
                  <w:txbxContent>
                    <w:p w14:paraId="36E6D58D" w14:textId="77777777" w:rsidR="005E1F39" w:rsidRDefault="005E1F39" w:rsidP="004112C3">
                      <w:pPr>
                        <w:jc w:val="both"/>
                        <w:rPr>
                          <w:sz w:val="28"/>
                          <w:szCs w:val="28"/>
                          <w:lang w:val="en"/>
                        </w:rPr>
                      </w:pPr>
                      <w:r w:rsidRPr="005E1F39">
                        <w:rPr>
                          <w:sz w:val="28"/>
                          <w:szCs w:val="28"/>
                          <w:lang w:val="en"/>
                        </w:rPr>
                        <w:t>Dislocations in Solids</w:t>
                      </w:r>
                    </w:p>
                    <w:p w14:paraId="59B57615" w14:textId="19B10227" w:rsidR="009409B4" w:rsidRDefault="009409B4" w:rsidP="004112C3">
                      <w:pPr>
                        <w:jc w:val="both"/>
                        <w:rPr>
                          <w:lang w:val="en"/>
                        </w:rPr>
                      </w:pPr>
                      <w:proofErr w:type="spellStart"/>
                      <w:r w:rsidRPr="009409B4">
                        <w:rPr>
                          <w:lang w:val="en"/>
                        </w:rPr>
                        <w:t>T.</w:t>
                      </w:r>
                      <w:proofErr w:type="gramStart"/>
                      <w:r w:rsidRPr="009409B4">
                        <w:rPr>
                          <w:lang w:val="en"/>
                        </w:rPr>
                        <w:t>E.Mitchell</w:t>
                      </w:r>
                      <w:proofErr w:type="spellEnd"/>
                      <w:proofErr w:type="gramEnd"/>
                      <w:r w:rsidR="003F6CD3">
                        <w:rPr>
                          <w:lang w:val="en"/>
                        </w:rPr>
                        <w:t xml:space="preserve"> </w:t>
                      </w:r>
                      <w:proofErr w:type="spellStart"/>
                      <w:r w:rsidRPr="009409B4">
                        <w:rPr>
                          <w:lang w:val="en"/>
                        </w:rPr>
                        <w:t>A.H.Heuer</w:t>
                      </w:r>
                      <w:proofErr w:type="spellEnd"/>
                    </w:p>
                    <w:p w14:paraId="5555B3CC" w14:textId="3203E002" w:rsidR="004112C3" w:rsidRDefault="004112C3" w:rsidP="004112C3">
                      <w:pPr>
                        <w:jc w:val="both"/>
                        <w:rPr>
                          <w:lang w:val="en"/>
                        </w:rPr>
                      </w:pPr>
                      <w:r>
                        <w:rPr>
                          <w:lang w:val="en"/>
                        </w:rPr>
                        <w:t>2004</w:t>
                      </w:r>
                    </w:p>
                    <w:p w14:paraId="53DF8707" w14:textId="03E5525C" w:rsidR="004112C3" w:rsidRPr="00AB75C7" w:rsidRDefault="004112C3" w:rsidP="004112C3">
                      <w:pPr>
                        <w:jc w:val="both"/>
                      </w:pPr>
                      <w:r>
                        <w:rPr>
                          <w:rFonts w:hint="eastAsia"/>
                          <w:lang w:val="en"/>
                        </w:rPr>
                        <w:t>简介：</w:t>
                      </w:r>
                      <w:r w:rsidR="00AB75C7">
                        <w:rPr>
                          <w:rFonts w:hint="eastAsia"/>
                          <w:lang w:val="en"/>
                        </w:rPr>
                        <w:t>本章节作为知名丛书一个章介绍了</w:t>
                      </w:r>
                      <w:r w:rsidR="00AB75C7" w:rsidRPr="00AB75C7">
                        <w:rPr>
                          <w:rFonts w:hint="eastAsia"/>
                          <w:lang w:val="en"/>
                        </w:rPr>
                        <w:t>陶瓷的位错和力学性能</w:t>
                      </w:r>
                    </w:p>
                    <w:p w14:paraId="1C270F5E" w14:textId="4D127C52" w:rsidR="004112C3" w:rsidRPr="001655EE" w:rsidRDefault="004112C3" w:rsidP="004112C3">
                      <w:pPr>
                        <w:jc w:val="both"/>
                      </w:pPr>
                      <w:r>
                        <w:rPr>
                          <w:rFonts w:hint="eastAsia"/>
                          <w:lang w:val="en"/>
                        </w:rPr>
                        <w:t>总被引次数：</w:t>
                      </w:r>
                      <w:r>
                        <w:rPr>
                          <w:lang w:val="en"/>
                        </w:rPr>
                        <w:t>16</w:t>
                      </w:r>
                      <w:r>
                        <w:rPr>
                          <w:rFonts w:hint="eastAsia"/>
                          <w:lang w:val="en"/>
                        </w:rPr>
                        <w:t>次</w:t>
                      </w:r>
                    </w:p>
                  </w:txbxContent>
                </v:textbox>
              </v:rect>
            </w:pict>
          </mc:Fallback>
        </mc:AlternateContent>
      </w:r>
      <w:r>
        <w:rPr>
          <w:noProof/>
        </w:rPr>
        <w:drawing>
          <wp:inline distT="0" distB="0" distL="0" distR="0" wp14:anchorId="5CB83EA3" wp14:editId="7140368A">
            <wp:extent cx="1008126" cy="1543050"/>
            <wp:effectExtent l="0" t="0" r="1905" b="0"/>
            <wp:docPr id="29" name="Picture 29" descr="Go to book series home page - Dislocations in Sol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 to book series home page - Dislocations in Solid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0077" cy="1546036"/>
                    </a:xfrm>
                    <a:prstGeom prst="rect">
                      <a:avLst/>
                    </a:prstGeom>
                    <a:noFill/>
                    <a:ln>
                      <a:noFill/>
                    </a:ln>
                  </pic:spPr>
                </pic:pic>
              </a:graphicData>
            </a:graphic>
          </wp:inline>
        </w:drawing>
      </w:r>
    </w:p>
    <w:p w14:paraId="284A848B" w14:textId="0F16C832" w:rsidR="00BA0B4C" w:rsidRDefault="00BA0B4C" w:rsidP="005A5313">
      <w:pPr>
        <w:autoSpaceDE w:val="0"/>
        <w:autoSpaceDN w:val="0"/>
        <w:adjustRightInd w:val="0"/>
        <w:spacing w:after="0" w:line="240" w:lineRule="auto"/>
        <w:rPr>
          <w:rFonts w:ascii="MicrosoftYaHei" w:eastAsia="MicrosoftYaHei" w:hAnsi="NexusSansOffcPro" w:cs="MicrosoftYaHei"/>
          <w:sz w:val="24"/>
          <w:szCs w:val="24"/>
        </w:rPr>
      </w:pPr>
    </w:p>
    <w:p w14:paraId="57E27E5B" w14:textId="47793B7A" w:rsidR="000802E5" w:rsidRPr="009E6BB7" w:rsidRDefault="00542A08" w:rsidP="000802E5">
      <w:pPr>
        <w:pStyle w:val="ListParagraph"/>
        <w:spacing w:after="0" w:line="400" w:lineRule="exact"/>
        <w:ind w:left="0" w:firstLine="432"/>
        <w:rPr>
          <w:rFonts w:ascii="微软雅黑" w:eastAsia="微软雅黑" w:hAnsi="微软雅黑" w:cs="Microsoft YaHei UI"/>
          <w:b/>
          <w:sz w:val="24"/>
          <w:szCs w:val="24"/>
        </w:rPr>
      </w:pPr>
      <w:r>
        <w:rPr>
          <w:rFonts w:ascii="微软雅黑" w:eastAsia="微软雅黑" w:hAnsi="微软雅黑" w:cs="Microsoft YaHei UI" w:hint="eastAsia"/>
          <w:b/>
          <w:sz w:val="24"/>
          <w:szCs w:val="24"/>
        </w:rPr>
        <w:lastRenderedPageBreak/>
        <w:t>其他</w:t>
      </w:r>
      <w:r w:rsidR="000802E5">
        <w:rPr>
          <w:noProof/>
        </w:rPr>
        <mc:AlternateContent>
          <mc:Choice Requires="wps">
            <w:drawing>
              <wp:anchor distT="0" distB="0" distL="114300" distR="114300" simplePos="0" relativeHeight="251693056" behindDoc="0" locked="0" layoutInCell="1" allowOverlap="1" wp14:anchorId="3B8EC8A0" wp14:editId="0959C644">
                <wp:simplePos x="0" y="0"/>
                <wp:positionH relativeFrom="column">
                  <wp:posOffset>1435100</wp:posOffset>
                </wp:positionH>
                <wp:positionV relativeFrom="paragraph">
                  <wp:posOffset>2341245</wp:posOffset>
                </wp:positionV>
                <wp:extent cx="4565650" cy="1955800"/>
                <wp:effectExtent l="0" t="0" r="25400" b="25400"/>
                <wp:wrapNone/>
                <wp:docPr id="35" name="Rectangle 35"/>
                <wp:cNvGraphicFramePr/>
                <a:graphic xmlns:a="http://schemas.openxmlformats.org/drawingml/2006/main">
                  <a:graphicData uri="http://schemas.microsoft.com/office/word/2010/wordprocessingShape">
                    <wps:wsp>
                      <wps:cNvSpPr/>
                      <wps:spPr>
                        <a:xfrm>
                          <a:off x="0" y="0"/>
                          <a:ext cx="4565650" cy="1955800"/>
                        </a:xfrm>
                        <a:prstGeom prst="rect">
                          <a:avLst/>
                        </a:prstGeom>
                      </wps:spPr>
                      <wps:style>
                        <a:lnRef idx="2">
                          <a:schemeClr val="dk1"/>
                        </a:lnRef>
                        <a:fillRef idx="1">
                          <a:schemeClr val="lt1"/>
                        </a:fillRef>
                        <a:effectRef idx="0">
                          <a:schemeClr val="dk1"/>
                        </a:effectRef>
                        <a:fontRef idx="minor">
                          <a:schemeClr val="dk1"/>
                        </a:fontRef>
                      </wps:style>
                      <wps:txbx>
                        <w:txbxContent>
                          <w:p w14:paraId="6D5D2D17" w14:textId="77777777" w:rsidR="000802E5" w:rsidRDefault="000802E5" w:rsidP="000802E5">
                            <w:pPr>
                              <w:spacing w:line="240" w:lineRule="auto"/>
                              <w:jc w:val="both"/>
                            </w:pPr>
                            <w:r w:rsidRPr="00C31203">
                              <w:t>Organic Rankine Cycle (ORC) Power Systems</w:t>
                            </w:r>
                          </w:p>
                          <w:p w14:paraId="2A97BFDF" w14:textId="77777777" w:rsidR="000802E5" w:rsidRDefault="000802E5" w:rsidP="000802E5">
                            <w:pPr>
                              <w:spacing w:line="240" w:lineRule="auto"/>
                              <w:jc w:val="both"/>
                            </w:pPr>
                            <w:r w:rsidRPr="00C31203">
                              <w:t xml:space="preserve">Ennio </w:t>
                            </w:r>
                            <w:proofErr w:type="spellStart"/>
                            <w:r w:rsidRPr="00C31203">
                              <w:t>Macchi</w:t>
                            </w:r>
                            <w:proofErr w:type="spellEnd"/>
                            <w:r w:rsidRPr="00C31203">
                              <w:t xml:space="preserve"> and Marco </w:t>
                            </w:r>
                            <w:proofErr w:type="spellStart"/>
                            <w:r w:rsidRPr="00C31203">
                              <w:t>Astolfi</w:t>
                            </w:r>
                            <w:proofErr w:type="spellEnd"/>
                          </w:p>
                          <w:p w14:paraId="1AA892E0" w14:textId="77777777" w:rsidR="000802E5" w:rsidRDefault="000802E5" w:rsidP="000802E5">
                            <w:pPr>
                              <w:spacing w:line="240" w:lineRule="auto"/>
                              <w:jc w:val="both"/>
                            </w:pPr>
                            <w:r>
                              <w:t>2017</w:t>
                            </w:r>
                          </w:p>
                          <w:p w14:paraId="50174C14" w14:textId="77777777" w:rsidR="000802E5" w:rsidRDefault="000802E5" w:rsidP="000802E5">
                            <w:pPr>
                              <w:spacing w:line="240" w:lineRule="auto"/>
                              <w:jc w:val="both"/>
                            </w:pPr>
                            <w:r>
                              <w:rPr>
                                <w:rFonts w:hint="eastAsia"/>
                                <w:lang w:val="en"/>
                              </w:rPr>
                              <w:t>简介</w:t>
                            </w:r>
                            <w:r>
                              <w:rPr>
                                <w:rFonts w:hint="eastAsia"/>
                              </w:rPr>
                              <w:t>：</w:t>
                            </w:r>
                            <w:r w:rsidRPr="00C31203">
                              <w:rPr>
                                <w:rFonts w:hint="eastAsia"/>
                              </w:rPr>
                              <w:t>提供了有机朗肯循环技术的系统和详细的描述，以及它们对成本效益高的可持续能源生产越来越感兴趣的方式。常用的应用包括生物质热电联产、地热库发电和太阳能集中发电装置，以及燃气轮机、内燃机和中低温工业过程的余热回收。</w:t>
                            </w:r>
                          </w:p>
                          <w:p w14:paraId="28CE77A7" w14:textId="77777777" w:rsidR="000802E5" w:rsidRDefault="000802E5" w:rsidP="000802E5">
                            <w:pPr>
                              <w:spacing w:line="240" w:lineRule="auto"/>
                              <w:jc w:val="both"/>
                            </w:pPr>
                            <w:r>
                              <w:rPr>
                                <w:rFonts w:hint="eastAsia"/>
                              </w:rPr>
                              <w:t>总被引：</w:t>
                            </w:r>
                            <w:r>
                              <w:rPr>
                                <w:rFonts w:hint="eastAsia"/>
                              </w:rPr>
                              <w:t>1</w:t>
                            </w:r>
                            <w: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EC8A0" id="Rectangle 35" o:spid="_x0000_s1029" style="position:absolute;left:0;text-align:left;margin-left:113pt;margin-top:184.35pt;width:359.5pt;height:1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" fillcolor="white [3201]" strokecolor="black [3200]" strokeweight="1pt">
                <v:textbox>
                  <w:txbxContent>
                    <w:p w14:paraId="6D5D2D17" w14:textId="77777777" w:rsidR="000802E5" w:rsidRDefault="000802E5" w:rsidP="000802E5">
                      <w:pPr>
                        <w:spacing w:line="240" w:lineRule="auto"/>
                        <w:jc w:val="both"/>
                      </w:pPr>
                      <w:r w:rsidRPr="00C31203">
                        <w:t>Organic Rankine Cycle (ORC) Power Systems</w:t>
                      </w:r>
                    </w:p>
                    <w:p w14:paraId="2A97BFDF" w14:textId="77777777" w:rsidR="000802E5" w:rsidRDefault="000802E5" w:rsidP="000802E5">
                      <w:pPr>
                        <w:spacing w:line="240" w:lineRule="auto"/>
                        <w:jc w:val="both"/>
                      </w:pPr>
                      <w:r w:rsidRPr="00C31203">
                        <w:t xml:space="preserve">Ennio </w:t>
                      </w:r>
                      <w:proofErr w:type="spellStart"/>
                      <w:r w:rsidRPr="00C31203">
                        <w:t>Macchi</w:t>
                      </w:r>
                      <w:proofErr w:type="spellEnd"/>
                      <w:r w:rsidRPr="00C31203">
                        <w:t xml:space="preserve"> and Marco </w:t>
                      </w:r>
                      <w:proofErr w:type="spellStart"/>
                      <w:r w:rsidRPr="00C31203">
                        <w:t>Astolfi</w:t>
                      </w:r>
                      <w:proofErr w:type="spellEnd"/>
                    </w:p>
                    <w:p w14:paraId="1AA892E0" w14:textId="77777777" w:rsidR="000802E5" w:rsidRDefault="000802E5" w:rsidP="000802E5">
                      <w:pPr>
                        <w:spacing w:line="240" w:lineRule="auto"/>
                        <w:jc w:val="both"/>
                      </w:pPr>
                      <w:r>
                        <w:t>2017</w:t>
                      </w:r>
                    </w:p>
                    <w:p w14:paraId="50174C14" w14:textId="77777777" w:rsidR="000802E5" w:rsidRDefault="000802E5" w:rsidP="000802E5">
                      <w:pPr>
                        <w:spacing w:line="240" w:lineRule="auto"/>
                        <w:jc w:val="both"/>
                      </w:pPr>
                      <w:r>
                        <w:rPr>
                          <w:rFonts w:hint="eastAsia"/>
                          <w:lang w:val="en"/>
                        </w:rPr>
                        <w:t>简介</w:t>
                      </w:r>
                      <w:r>
                        <w:rPr>
                          <w:rFonts w:hint="eastAsia"/>
                        </w:rPr>
                        <w:t>：</w:t>
                      </w:r>
                      <w:r w:rsidRPr="00C31203">
                        <w:rPr>
                          <w:rFonts w:hint="eastAsia"/>
                        </w:rPr>
                        <w:t>提供了有机朗肯循环技术的系统和详细的描述，以及它们对成本效益高的可持续能源生产越来越感兴趣的方式。常用的应用包括生物质热电联产、地热库发电和太阳能集中发电装置，以及燃气轮机、内燃机和中低温工业过程的余热回收。</w:t>
                      </w:r>
                    </w:p>
                    <w:p w14:paraId="28CE77A7" w14:textId="77777777" w:rsidR="000802E5" w:rsidRDefault="000802E5" w:rsidP="000802E5">
                      <w:pPr>
                        <w:spacing w:line="240" w:lineRule="auto"/>
                        <w:jc w:val="both"/>
                      </w:pPr>
                      <w:r>
                        <w:rPr>
                          <w:rFonts w:hint="eastAsia"/>
                        </w:rPr>
                        <w:t>总被引：</w:t>
                      </w:r>
                      <w:r>
                        <w:rPr>
                          <w:rFonts w:hint="eastAsia"/>
                        </w:rPr>
                        <w:t>1</w:t>
                      </w:r>
                      <w:r>
                        <w:t>17</w:t>
                      </w:r>
                    </w:p>
                  </w:txbxContent>
                </v:textbox>
              </v:rect>
            </w:pict>
          </mc:Fallback>
        </mc:AlternateContent>
      </w:r>
      <w:r w:rsidR="000802E5">
        <w:rPr>
          <w:noProof/>
        </w:rPr>
        <w:drawing>
          <wp:anchor distT="0" distB="0" distL="114300" distR="114300" simplePos="0" relativeHeight="251692032" behindDoc="0" locked="0" layoutInCell="1" allowOverlap="1" wp14:anchorId="51433FF3" wp14:editId="663483C2">
            <wp:simplePos x="0" y="0"/>
            <wp:positionH relativeFrom="column">
              <wp:posOffset>-104775</wp:posOffset>
            </wp:positionH>
            <wp:positionV relativeFrom="paragraph">
              <wp:posOffset>2447290</wp:posOffset>
            </wp:positionV>
            <wp:extent cx="1270000" cy="1905000"/>
            <wp:effectExtent l="0" t="0" r="6350" b="0"/>
            <wp:wrapTopAndBottom/>
            <wp:docPr id="33" name="Picture 33" descr="Cover for Organic Rankine Cycle (ORC) Power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ver for Organic Rankine Cycle (ORC) Power System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00" cy="1905000"/>
                    </a:xfrm>
                    <a:prstGeom prst="rect">
                      <a:avLst/>
                    </a:prstGeom>
                    <a:noFill/>
                    <a:ln>
                      <a:noFill/>
                    </a:ln>
                  </pic:spPr>
                </pic:pic>
              </a:graphicData>
            </a:graphic>
          </wp:anchor>
        </w:drawing>
      </w:r>
      <w:r w:rsidR="000802E5">
        <w:rPr>
          <w:noProof/>
        </w:rPr>
        <mc:AlternateContent>
          <mc:Choice Requires="wps">
            <w:drawing>
              <wp:anchor distT="0" distB="0" distL="114300" distR="114300" simplePos="0" relativeHeight="251691008" behindDoc="0" locked="0" layoutInCell="1" allowOverlap="1" wp14:anchorId="334840B3" wp14:editId="42BD4EC1">
                <wp:simplePos x="0" y="0"/>
                <wp:positionH relativeFrom="column">
                  <wp:posOffset>1428750</wp:posOffset>
                </wp:positionH>
                <wp:positionV relativeFrom="paragraph">
                  <wp:posOffset>321310</wp:posOffset>
                </wp:positionV>
                <wp:extent cx="4794250" cy="1905000"/>
                <wp:effectExtent l="0" t="0" r="25400" b="19050"/>
                <wp:wrapNone/>
                <wp:docPr id="32" name="Rectangle 32"/>
                <wp:cNvGraphicFramePr/>
                <a:graphic xmlns:a="http://schemas.openxmlformats.org/drawingml/2006/main">
                  <a:graphicData uri="http://schemas.microsoft.com/office/word/2010/wordprocessingShape">
                    <wps:wsp>
                      <wps:cNvSpPr/>
                      <wps:spPr>
                        <a:xfrm>
                          <a:off x="0" y="0"/>
                          <a:ext cx="4794250" cy="1905000"/>
                        </a:xfrm>
                        <a:prstGeom prst="rect">
                          <a:avLst/>
                        </a:prstGeom>
                      </wps:spPr>
                      <wps:style>
                        <a:lnRef idx="2">
                          <a:schemeClr val="dk1"/>
                        </a:lnRef>
                        <a:fillRef idx="1">
                          <a:schemeClr val="lt1"/>
                        </a:fillRef>
                        <a:effectRef idx="0">
                          <a:schemeClr val="dk1"/>
                        </a:effectRef>
                        <a:fontRef idx="minor">
                          <a:schemeClr val="dk1"/>
                        </a:fontRef>
                      </wps:style>
                      <wps:txbx>
                        <w:txbxContent>
                          <w:p w14:paraId="0E9348CC" w14:textId="77777777" w:rsidR="000802E5" w:rsidRPr="00A81DE9" w:rsidRDefault="000802E5" w:rsidP="000802E5">
                            <w:pPr>
                              <w:jc w:val="both"/>
                              <w:rPr>
                                <w:sz w:val="28"/>
                                <w:szCs w:val="28"/>
                                <w:lang w:val="en"/>
                              </w:rPr>
                            </w:pPr>
                            <w:r w:rsidRPr="00A81DE9">
                              <w:rPr>
                                <w:sz w:val="28"/>
                                <w:szCs w:val="28"/>
                                <w:lang w:val="en"/>
                              </w:rPr>
                              <w:t>High Temperature Oxidation and Corrosion of Metals</w:t>
                            </w:r>
                          </w:p>
                          <w:p w14:paraId="435C76CD" w14:textId="77777777" w:rsidR="000802E5" w:rsidRDefault="000802E5" w:rsidP="000802E5">
                            <w:pPr>
                              <w:jc w:val="both"/>
                              <w:rPr>
                                <w:lang w:val="en"/>
                              </w:rPr>
                            </w:pPr>
                            <w:r w:rsidRPr="00A81DE9">
                              <w:rPr>
                                <w:lang w:val="en"/>
                              </w:rPr>
                              <w:t>David J. Young</w:t>
                            </w:r>
                          </w:p>
                          <w:p w14:paraId="4D467542" w14:textId="77777777" w:rsidR="000802E5" w:rsidRDefault="000802E5" w:rsidP="000802E5">
                            <w:pPr>
                              <w:jc w:val="both"/>
                              <w:rPr>
                                <w:lang w:val="en"/>
                              </w:rPr>
                            </w:pPr>
                            <w:r>
                              <w:rPr>
                                <w:lang w:val="en"/>
                              </w:rPr>
                              <w:t>2016</w:t>
                            </w:r>
                          </w:p>
                          <w:p w14:paraId="230D3633" w14:textId="77777777" w:rsidR="000802E5" w:rsidRPr="00A81DE9" w:rsidRDefault="000802E5" w:rsidP="000802E5">
                            <w:pPr>
                              <w:jc w:val="both"/>
                              <w:rPr>
                                <w:lang w:val="en"/>
                              </w:rPr>
                            </w:pPr>
                            <w:r>
                              <w:rPr>
                                <w:rFonts w:hint="eastAsia"/>
                                <w:lang w:val="en"/>
                              </w:rPr>
                              <w:t>简介：本书</w:t>
                            </w:r>
                            <w:r w:rsidRPr="00A81DE9">
                              <w:rPr>
                                <w:rFonts w:hint="eastAsia"/>
                                <w:lang w:val="en"/>
                              </w:rPr>
                              <w:t>为高温合金氧化的基本机理提供了高层次的</w:t>
                            </w:r>
                            <w:r>
                              <w:rPr>
                                <w:rFonts w:hint="eastAsia"/>
                                <w:lang w:val="en"/>
                              </w:rPr>
                              <w:t>介绍</w:t>
                            </w:r>
                            <w:r w:rsidRPr="00A81DE9">
                              <w:rPr>
                                <w:rFonts w:hint="eastAsia"/>
                                <w:lang w:val="en"/>
                              </w:rPr>
                              <w:t>。它使用这种</w:t>
                            </w:r>
                            <w:r>
                              <w:rPr>
                                <w:rFonts w:hint="eastAsia"/>
                                <w:lang w:val="en"/>
                              </w:rPr>
                              <w:t>介绍</w:t>
                            </w:r>
                            <w:r w:rsidRPr="00A81DE9">
                              <w:rPr>
                                <w:rFonts w:hint="eastAsia"/>
                                <w:lang w:val="en"/>
                              </w:rPr>
                              <w:t>来开发预测氧化速率的方法，以及它们随温度、气体化学和合金组成变化的方式。</w:t>
                            </w:r>
                          </w:p>
                          <w:p w14:paraId="4CE51878" w14:textId="77777777" w:rsidR="000802E5" w:rsidRPr="00A81DE9" w:rsidRDefault="000802E5" w:rsidP="000802E5">
                            <w:pPr>
                              <w:jc w:val="both"/>
                              <w:rPr>
                                <w:lang w:val="en"/>
                              </w:rPr>
                            </w:pPr>
                            <w:r>
                              <w:rPr>
                                <w:rFonts w:hint="eastAsia"/>
                                <w:lang w:val="en"/>
                              </w:rPr>
                              <w:t>总被引次数：</w:t>
                            </w:r>
                            <w:r>
                              <w:rPr>
                                <w:rFonts w:hint="eastAsia"/>
                                <w:lang w:val="en"/>
                              </w:rPr>
                              <w:t>4</w:t>
                            </w:r>
                            <w:r>
                              <w:rPr>
                                <w:lang w:val="en"/>
                              </w:rPr>
                              <w:t>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840B3" id="Rectangle 32" o:spid="_x0000_s1030" style="position:absolute;left:0;text-align:left;margin-left:112.5pt;margin-top:25.3pt;width:377.5pt;height:150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" fillcolor="white [3201]" strokecolor="black [3200]" strokeweight="1pt">
                <v:textbox>
                  <w:txbxContent>
                    <w:p w14:paraId="0E9348CC" w14:textId="77777777" w:rsidR="000802E5" w:rsidRPr="00A81DE9" w:rsidRDefault="000802E5" w:rsidP="000802E5">
                      <w:pPr>
                        <w:jc w:val="both"/>
                        <w:rPr>
                          <w:sz w:val="28"/>
                          <w:szCs w:val="28"/>
                          <w:lang w:val="en"/>
                        </w:rPr>
                      </w:pPr>
                      <w:r w:rsidRPr="00A81DE9">
                        <w:rPr>
                          <w:sz w:val="28"/>
                          <w:szCs w:val="28"/>
                          <w:lang w:val="en"/>
                        </w:rPr>
                        <w:t>High Temperature Oxidation and Corrosion of Metals</w:t>
                      </w:r>
                    </w:p>
                    <w:p w14:paraId="435C76CD" w14:textId="77777777" w:rsidR="000802E5" w:rsidRDefault="000802E5" w:rsidP="000802E5">
                      <w:pPr>
                        <w:jc w:val="both"/>
                        <w:rPr>
                          <w:lang w:val="en"/>
                        </w:rPr>
                      </w:pPr>
                      <w:r w:rsidRPr="00A81DE9">
                        <w:rPr>
                          <w:lang w:val="en"/>
                        </w:rPr>
                        <w:t>David J. Young</w:t>
                      </w:r>
                    </w:p>
                    <w:p w14:paraId="4D467542" w14:textId="77777777" w:rsidR="000802E5" w:rsidRDefault="000802E5" w:rsidP="000802E5">
                      <w:pPr>
                        <w:jc w:val="both"/>
                        <w:rPr>
                          <w:lang w:val="en"/>
                        </w:rPr>
                      </w:pPr>
                      <w:r>
                        <w:rPr>
                          <w:lang w:val="en"/>
                        </w:rPr>
                        <w:t>2016</w:t>
                      </w:r>
                    </w:p>
                    <w:p w14:paraId="230D3633" w14:textId="77777777" w:rsidR="000802E5" w:rsidRPr="00A81DE9" w:rsidRDefault="000802E5" w:rsidP="000802E5">
                      <w:pPr>
                        <w:jc w:val="both"/>
                        <w:rPr>
                          <w:lang w:val="en"/>
                        </w:rPr>
                      </w:pPr>
                      <w:r>
                        <w:rPr>
                          <w:rFonts w:hint="eastAsia"/>
                          <w:lang w:val="en"/>
                        </w:rPr>
                        <w:t>简介：本书</w:t>
                      </w:r>
                      <w:r w:rsidRPr="00A81DE9">
                        <w:rPr>
                          <w:rFonts w:hint="eastAsia"/>
                          <w:lang w:val="en"/>
                        </w:rPr>
                        <w:t>为高温合金氧化的基本机理提供了高层次的</w:t>
                      </w:r>
                      <w:r>
                        <w:rPr>
                          <w:rFonts w:hint="eastAsia"/>
                          <w:lang w:val="en"/>
                        </w:rPr>
                        <w:t>介绍</w:t>
                      </w:r>
                      <w:r w:rsidRPr="00A81DE9">
                        <w:rPr>
                          <w:rFonts w:hint="eastAsia"/>
                          <w:lang w:val="en"/>
                        </w:rPr>
                        <w:t>。它使用这种</w:t>
                      </w:r>
                      <w:r>
                        <w:rPr>
                          <w:rFonts w:hint="eastAsia"/>
                          <w:lang w:val="en"/>
                        </w:rPr>
                        <w:t>介绍</w:t>
                      </w:r>
                      <w:r w:rsidRPr="00A81DE9">
                        <w:rPr>
                          <w:rFonts w:hint="eastAsia"/>
                          <w:lang w:val="en"/>
                        </w:rPr>
                        <w:t>来开发预测氧化速率的方法，以及它们随温度、气体化学和合金组成变化的方式。</w:t>
                      </w:r>
                    </w:p>
                    <w:p w14:paraId="4CE51878" w14:textId="77777777" w:rsidR="000802E5" w:rsidRPr="00A81DE9" w:rsidRDefault="000802E5" w:rsidP="000802E5">
                      <w:pPr>
                        <w:jc w:val="both"/>
                        <w:rPr>
                          <w:lang w:val="en"/>
                        </w:rPr>
                      </w:pPr>
                      <w:r>
                        <w:rPr>
                          <w:rFonts w:hint="eastAsia"/>
                          <w:lang w:val="en"/>
                        </w:rPr>
                        <w:t>总被引次数：</w:t>
                      </w:r>
                      <w:r>
                        <w:rPr>
                          <w:rFonts w:hint="eastAsia"/>
                          <w:lang w:val="en"/>
                        </w:rPr>
                        <w:t>4</w:t>
                      </w:r>
                      <w:r>
                        <w:rPr>
                          <w:lang w:val="en"/>
                        </w:rPr>
                        <w:t>04</w:t>
                      </w:r>
                    </w:p>
                  </w:txbxContent>
                </v:textbox>
              </v:rect>
            </w:pict>
          </mc:Fallback>
        </mc:AlternateContent>
      </w:r>
      <w:r w:rsidR="000802E5">
        <w:rPr>
          <w:noProof/>
        </w:rPr>
        <w:drawing>
          <wp:anchor distT="0" distB="0" distL="114300" distR="114300" simplePos="0" relativeHeight="251689984" behindDoc="0" locked="0" layoutInCell="1" allowOverlap="1" wp14:anchorId="3590040A" wp14:editId="162469EC">
            <wp:simplePos x="0" y="0"/>
            <wp:positionH relativeFrom="column">
              <wp:posOffset>-120650</wp:posOffset>
            </wp:positionH>
            <wp:positionV relativeFrom="paragraph">
              <wp:posOffset>353060</wp:posOffset>
            </wp:positionV>
            <wp:extent cx="1276350" cy="1905000"/>
            <wp:effectExtent l="0" t="0" r="0" b="0"/>
            <wp:wrapTopAndBottom/>
            <wp:docPr id="31" name="Picture 31" descr="Cover for High Temperature Oxidation and Corrosion of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for High Temperature Oxidation and Corrosion of Meta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350" cy="1905000"/>
                    </a:xfrm>
                    <a:prstGeom prst="rect">
                      <a:avLst/>
                    </a:prstGeom>
                    <a:noFill/>
                    <a:ln>
                      <a:noFill/>
                    </a:ln>
                  </pic:spPr>
                </pic:pic>
              </a:graphicData>
            </a:graphic>
          </wp:anchor>
        </w:drawing>
      </w:r>
      <w:r w:rsidR="000802E5" w:rsidRPr="009E6BB7">
        <w:rPr>
          <w:rFonts w:ascii="微软雅黑" w:eastAsia="微软雅黑" w:hAnsi="微软雅黑" w:cs="Microsoft YaHei UI" w:hint="eastAsia"/>
          <w:b/>
          <w:sz w:val="24"/>
          <w:szCs w:val="24"/>
        </w:rPr>
        <w:t>高被引图书举例</w:t>
      </w:r>
    </w:p>
    <w:p w14:paraId="1AEAED23" w14:textId="45447019" w:rsidR="000802E5" w:rsidRDefault="000802E5" w:rsidP="000802E5">
      <w:pPr>
        <w:pStyle w:val="ListParagraph"/>
        <w:spacing w:after="0" w:line="240" w:lineRule="auto"/>
        <w:ind w:left="0" w:firstLine="432"/>
        <w:jc w:val="center"/>
        <w:rPr>
          <w:rFonts w:ascii="微软雅黑" w:eastAsia="微软雅黑" w:hAnsi="微软雅黑" w:cs="Microsoft YaHei UI"/>
        </w:rPr>
      </w:pPr>
      <w:r>
        <w:rPr>
          <w:noProof/>
        </w:rPr>
        <w:drawing>
          <wp:anchor distT="0" distB="0" distL="114300" distR="114300" simplePos="0" relativeHeight="251697152" behindDoc="0" locked="0" layoutInCell="1" allowOverlap="1" wp14:anchorId="7C29B395" wp14:editId="3A2D1F8E">
            <wp:simplePos x="0" y="0"/>
            <wp:positionH relativeFrom="margin">
              <wp:posOffset>-76200</wp:posOffset>
            </wp:positionH>
            <wp:positionV relativeFrom="paragraph">
              <wp:posOffset>4351020</wp:posOffset>
            </wp:positionV>
            <wp:extent cx="1241425" cy="1534160"/>
            <wp:effectExtent l="0" t="0" r="0" b="8890"/>
            <wp:wrapTopAndBottom/>
            <wp:docPr id="36" name="Picture 36" descr="Cover for Biomass Fractionation Technologies for a Lignocellulosic Feedstock Based Biorefi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ver for Biomass Fractionation Technologies for a Lignocellulosic Feedstock Based Biorefiner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1425" cy="1534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5104" behindDoc="0" locked="0" layoutInCell="1" allowOverlap="1" wp14:anchorId="6BE34007" wp14:editId="61D697B3">
                <wp:simplePos x="0" y="0"/>
                <wp:positionH relativeFrom="column">
                  <wp:posOffset>1482725</wp:posOffset>
                </wp:positionH>
                <wp:positionV relativeFrom="paragraph">
                  <wp:posOffset>4176395</wp:posOffset>
                </wp:positionV>
                <wp:extent cx="4641850" cy="2133600"/>
                <wp:effectExtent l="0" t="0" r="25400" b="19050"/>
                <wp:wrapNone/>
                <wp:docPr id="37" name="Rectangle 37"/>
                <wp:cNvGraphicFramePr/>
                <a:graphic xmlns:a="http://schemas.openxmlformats.org/drawingml/2006/main">
                  <a:graphicData uri="http://schemas.microsoft.com/office/word/2010/wordprocessingShape">
                    <wps:wsp>
                      <wps:cNvSpPr/>
                      <wps:spPr>
                        <a:xfrm>
                          <a:off x="0" y="0"/>
                          <a:ext cx="4641850" cy="2133600"/>
                        </a:xfrm>
                        <a:prstGeom prst="rect">
                          <a:avLst/>
                        </a:prstGeom>
                      </wps:spPr>
                      <wps:style>
                        <a:lnRef idx="2">
                          <a:schemeClr val="dk1"/>
                        </a:lnRef>
                        <a:fillRef idx="1">
                          <a:schemeClr val="lt1"/>
                        </a:fillRef>
                        <a:effectRef idx="0">
                          <a:schemeClr val="dk1"/>
                        </a:effectRef>
                        <a:fontRef idx="minor">
                          <a:schemeClr val="dk1"/>
                        </a:fontRef>
                      </wps:style>
                      <wps:txbx>
                        <w:txbxContent>
                          <w:p w14:paraId="757DB65C" w14:textId="77777777" w:rsidR="000802E5" w:rsidRDefault="000802E5" w:rsidP="000802E5">
                            <w:pPr>
                              <w:spacing w:line="240" w:lineRule="auto"/>
                              <w:jc w:val="both"/>
                              <w:rPr>
                                <w:lang w:val="en"/>
                              </w:rPr>
                            </w:pPr>
                            <w:r w:rsidRPr="00A33561">
                              <w:rPr>
                                <w:lang w:val="en"/>
                              </w:rPr>
                              <w:t>Biomass Fractionation Technologies for a Lignocellulosic Feedstock Based Biorefinery</w:t>
                            </w:r>
                          </w:p>
                          <w:p w14:paraId="72C9EEE4" w14:textId="77777777" w:rsidR="000802E5" w:rsidRDefault="000802E5" w:rsidP="000802E5">
                            <w:pPr>
                              <w:spacing w:line="240" w:lineRule="auto"/>
                              <w:jc w:val="both"/>
                              <w:rPr>
                                <w:lang w:val="en"/>
                              </w:rPr>
                            </w:pPr>
                            <w:r w:rsidRPr="00A33561">
                              <w:rPr>
                                <w:lang w:val="en"/>
                              </w:rPr>
                              <w:t xml:space="preserve">Solange I. </w:t>
                            </w:r>
                            <w:proofErr w:type="spellStart"/>
                            <w:r w:rsidRPr="00A33561">
                              <w:rPr>
                                <w:lang w:val="en"/>
                              </w:rPr>
                              <w:t>Mussatto</w:t>
                            </w:r>
                            <w:proofErr w:type="spellEnd"/>
                          </w:p>
                          <w:p w14:paraId="47DE8A41" w14:textId="77777777" w:rsidR="000802E5" w:rsidRDefault="000802E5" w:rsidP="000802E5">
                            <w:pPr>
                              <w:spacing w:line="240" w:lineRule="auto"/>
                              <w:jc w:val="both"/>
                              <w:rPr>
                                <w:lang w:val="en"/>
                              </w:rPr>
                            </w:pPr>
                            <w:r>
                              <w:rPr>
                                <w:lang w:val="en"/>
                              </w:rPr>
                              <w:t>2016</w:t>
                            </w:r>
                          </w:p>
                          <w:p w14:paraId="3F6AA8F8" w14:textId="77777777" w:rsidR="000802E5" w:rsidRDefault="000802E5" w:rsidP="000802E5">
                            <w:pPr>
                              <w:spacing w:line="240" w:lineRule="auto"/>
                              <w:jc w:val="both"/>
                              <w:rPr>
                                <w:lang w:val="en"/>
                              </w:rPr>
                            </w:pPr>
                            <w:r>
                              <w:rPr>
                                <w:rFonts w:hint="eastAsia"/>
                                <w:lang w:val="en"/>
                              </w:rPr>
                              <w:t>简介：本书</w:t>
                            </w:r>
                            <w:r w:rsidRPr="00A33561">
                              <w:rPr>
                                <w:rFonts w:hint="eastAsia"/>
                                <w:lang w:val="en"/>
                              </w:rPr>
                              <w:t>回顾了生物精炼领域的广泛研究和巨大的科学技术发展，包括使用“绿色技术”（通常称为白色生物技术）的工业过程和产品开发。本书介绍了与生物量分馏相关的最重要的主题，包括进展、挑战和前景，所有这些都参考了当前的文献以供进一步研究。</w:t>
                            </w:r>
                          </w:p>
                          <w:p w14:paraId="79E10543" w14:textId="77777777" w:rsidR="000802E5" w:rsidRPr="00A33561" w:rsidRDefault="000802E5" w:rsidP="000802E5">
                            <w:pPr>
                              <w:spacing w:line="240" w:lineRule="auto"/>
                              <w:jc w:val="both"/>
                              <w:rPr>
                                <w:lang w:val="en"/>
                              </w:rPr>
                            </w:pPr>
                            <w:r>
                              <w:rPr>
                                <w:rFonts w:hint="eastAsia"/>
                                <w:lang w:val="en"/>
                              </w:rPr>
                              <w:t>总被引：</w:t>
                            </w:r>
                            <w:r>
                              <w:rPr>
                                <w:rFonts w:hint="eastAsia"/>
                                <w:lang w:val="en"/>
                              </w:rPr>
                              <w:t>1</w:t>
                            </w:r>
                            <w:r>
                              <w:rPr>
                                <w:lang w:val="en"/>
                              </w:rPr>
                              <w:t>03</w:t>
                            </w:r>
                          </w:p>
                          <w:p w14:paraId="4893CD02" w14:textId="77777777" w:rsidR="000802E5" w:rsidRPr="00A33561" w:rsidRDefault="000802E5" w:rsidP="000802E5">
                            <w:pPr>
                              <w:jc w:val="both"/>
                              <w:rPr>
                                <w:lang w:val="e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E34007" id="Rectangle 37" o:spid="_x0000_s1031" style="position:absolute;left:0;text-align:left;margin-left:116.75pt;margin-top:328.85pt;width:365.5pt;height:168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" fillcolor="white [3201]" strokecolor="black [3200]" strokeweight="1pt">
                <v:textbox>
                  <w:txbxContent>
                    <w:p w14:paraId="757DB65C" w14:textId="77777777" w:rsidR="000802E5" w:rsidRDefault="000802E5" w:rsidP="000802E5">
                      <w:pPr>
                        <w:spacing w:line="240" w:lineRule="auto"/>
                        <w:jc w:val="both"/>
                        <w:rPr>
                          <w:lang w:val="en"/>
                        </w:rPr>
                      </w:pPr>
                      <w:r w:rsidRPr="00A33561">
                        <w:rPr>
                          <w:lang w:val="en"/>
                        </w:rPr>
                        <w:t>Biomass Fractionation Technologies for a Lignocellulosic Feedstock Based Biorefinery</w:t>
                      </w:r>
                    </w:p>
                    <w:p w14:paraId="72C9EEE4" w14:textId="77777777" w:rsidR="000802E5" w:rsidRDefault="000802E5" w:rsidP="000802E5">
                      <w:pPr>
                        <w:spacing w:line="240" w:lineRule="auto"/>
                        <w:jc w:val="both"/>
                        <w:rPr>
                          <w:lang w:val="en"/>
                        </w:rPr>
                      </w:pPr>
                      <w:r w:rsidRPr="00A33561">
                        <w:rPr>
                          <w:lang w:val="en"/>
                        </w:rPr>
                        <w:t xml:space="preserve">Solange I. </w:t>
                      </w:r>
                      <w:proofErr w:type="spellStart"/>
                      <w:r w:rsidRPr="00A33561">
                        <w:rPr>
                          <w:lang w:val="en"/>
                        </w:rPr>
                        <w:t>Mussatto</w:t>
                      </w:r>
                      <w:proofErr w:type="spellEnd"/>
                    </w:p>
                    <w:p w14:paraId="47DE8A41" w14:textId="77777777" w:rsidR="000802E5" w:rsidRDefault="000802E5" w:rsidP="000802E5">
                      <w:pPr>
                        <w:spacing w:line="240" w:lineRule="auto"/>
                        <w:jc w:val="both"/>
                        <w:rPr>
                          <w:lang w:val="en"/>
                        </w:rPr>
                      </w:pPr>
                      <w:r>
                        <w:rPr>
                          <w:lang w:val="en"/>
                        </w:rPr>
                        <w:t>2016</w:t>
                      </w:r>
                    </w:p>
                    <w:p w14:paraId="3F6AA8F8" w14:textId="77777777" w:rsidR="000802E5" w:rsidRDefault="000802E5" w:rsidP="000802E5">
                      <w:pPr>
                        <w:spacing w:line="240" w:lineRule="auto"/>
                        <w:jc w:val="both"/>
                        <w:rPr>
                          <w:lang w:val="en"/>
                        </w:rPr>
                      </w:pPr>
                      <w:r>
                        <w:rPr>
                          <w:rFonts w:hint="eastAsia"/>
                          <w:lang w:val="en"/>
                        </w:rPr>
                        <w:t>简介：本书</w:t>
                      </w:r>
                      <w:r w:rsidRPr="00A33561">
                        <w:rPr>
                          <w:rFonts w:hint="eastAsia"/>
                          <w:lang w:val="en"/>
                        </w:rPr>
                        <w:t>回顾了生物精炼领域的广泛研究和巨大的科学技术发展，包括使用“绿色技术”（通常称为白色生物技术）的工业过程和产品开发。本书介绍了与生物量分馏相关的最重要的主题，包括进展、挑战和前景，所有这些都参考了当前的文献以供进一步研究。</w:t>
                      </w:r>
                    </w:p>
                    <w:p w14:paraId="79E10543" w14:textId="77777777" w:rsidR="000802E5" w:rsidRPr="00A33561" w:rsidRDefault="000802E5" w:rsidP="000802E5">
                      <w:pPr>
                        <w:spacing w:line="240" w:lineRule="auto"/>
                        <w:jc w:val="both"/>
                        <w:rPr>
                          <w:lang w:val="en"/>
                        </w:rPr>
                      </w:pPr>
                      <w:r>
                        <w:rPr>
                          <w:rFonts w:hint="eastAsia"/>
                          <w:lang w:val="en"/>
                        </w:rPr>
                        <w:t>总被引：</w:t>
                      </w:r>
                      <w:r>
                        <w:rPr>
                          <w:rFonts w:hint="eastAsia"/>
                          <w:lang w:val="en"/>
                        </w:rPr>
                        <w:t>1</w:t>
                      </w:r>
                      <w:r>
                        <w:rPr>
                          <w:lang w:val="en"/>
                        </w:rPr>
                        <w:t>03</w:t>
                      </w:r>
                    </w:p>
                    <w:p w14:paraId="4893CD02" w14:textId="77777777" w:rsidR="000802E5" w:rsidRPr="00A33561" w:rsidRDefault="000802E5" w:rsidP="000802E5">
                      <w:pPr>
                        <w:jc w:val="both"/>
                        <w:rPr>
                          <w:lang w:val="en"/>
                        </w:rPr>
                      </w:pPr>
                    </w:p>
                  </w:txbxContent>
                </v:textbox>
              </v:rect>
            </w:pict>
          </mc:Fallback>
        </mc:AlternateContent>
      </w:r>
    </w:p>
    <w:p w14:paraId="41981502" w14:textId="046EEC9A" w:rsidR="000802E5" w:rsidRDefault="000802E5" w:rsidP="000802E5">
      <w:pPr>
        <w:pStyle w:val="ListParagraph"/>
        <w:spacing w:after="0" w:line="400" w:lineRule="exact"/>
        <w:ind w:left="0" w:firstLine="432"/>
        <w:jc w:val="center"/>
        <w:rPr>
          <w:rFonts w:ascii="微软雅黑" w:eastAsia="微软雅黑" w:hAnsi="微软雅黑" w:cs="Microsoft YaHei UI"/>
        </w:rPr>
      </w:pPr>
    </w:p>
    <w:p w14:paraId="026AB789" w14:textId="48D59867" w:rsidR="000802E5" w:rsidRDefault="000802E5" w:rsidP="000802E5">
      <w:pPr>
        <w:pStyle w:val="ListParagraph"/>
        <w:spacing w:after="0" w:line="400" w:lineRule="exact"/>
        <w:ind w:left="0" w:firstLine="432"/>
        <w:jc w:val="center"/>
        <w:rPr>
          <w:rFonts w:ascii="微软雅黑" w:eastAsia="微软雅黑" w:hAnsi="微软雅黑" w:cs="Microsoft YaHei UI"/>
        </w:rPr>
      </w:pPr>
    </w:p>
    <w:p w14:paraId="589BDD36" w14:textId="45756B55" w:rsidR="002C6032" w:rsidRDefault="00012DD6" w:rsidP="002C6032">
      <w:pPr>
        <w:pStyle w:val="ListParagraph"/>
        <w:spacing w:after="0" w:line="400" w:lineRule="exact"/>
        <w:ind w:left="0" w:firstLine="432"/>
        <w:jc w:val="right"/>
        <w:rPr>
          <w:rFonts w:ascii="微软雅黑" w:eastAsia="微软雅黑" w:hAnsi="微软雅黑" w:cs="Microsoft YaHei UI"/>
        </w:rPr>
      </w:pPr>
      <w:r w:rsidRPr="006E5F27">
        <w:rPr>
          <w:rFonts w:ascii="微软雅黑" w:eastAsia="微软雅黑" w:hAnsi="微软雅黑" w:cs="NexusSansOffcPro" w:hint="eastAsia"/>
          <w:noProof/>
          <w:sz w:val="24"/>
          <w:szCs w:val="24"/>
        </w:rPr>
        <mc:AlternateContent>
          <mc:Choice Requires="wps">
            <w:drawing>
              <wp:anchor distT="0" distB="0" distL="114300" distR="114300" simplePos="0" relativeHeight="251705344" behindDoc="0" locked="0" layoutInCell="1" allowOverlap="1" wp14:anchorId="2C2738A1" wp14:editId="49108DC1">
                <wp:simplePos x="0" y="0"/>
                <wp:positionH relativeFrom="margin">
                  <wp:posOffset>1590675</wp:posOffset>
                </wp:positionH>
                <wp:positionV relativeFrom="paragraph">
                  <wp:posOffset>330200</wp:posOffset>
                </wp:positionV>
                <wp:extent cx="2409825" cy="476250"/>
                <wp:effectExtent l="57150" t="38100" r="66675" b="76200"/>
                <wp:wrapTopAndBottom/>
                <wp:docPr id="1" name="Rectangle 1"/>
                <wp:cNvGraphicFramePr/>
                <a:graphic xmlns:a="http://schemas.openxmlformats.org/drawingml/2006/main">
                  <a:graphicData uri="http://schemas.microsoft.com/office/word/2010/wordprocessingShape">
                    <wps:wsp>
                      <wps:cNvSpPr/>
                      <wps:spPr>
                        <a:xfrm>
                          <a:off x="0" y="0"/>
                          <a:ext cx="2409825" cy="476250"/>
                        </a:xfrm>
                        <a:prstGeom prst="rect">
                          <a:avLst/>
                        </a:prstGeom>
                        <a:ln/>
                      </wps:spPr>
                      <wps:style>
                        <a:lnRef idx="0">
                          <a:schemeClr val="accent2"/>
                        </a:lnRef>
                        <a:fillRef idx="3">
                          <a:schemeClr val="accent2"/>
                        </a:fillRef>
                        <a:effectRef idx="3">
                          <a:schemeClr val="accent2"/>
                        </a:effectRef>
                        <a:fontRef idx="minor">
                          <a:schemeClr val="lt1"/>
                        </a:fontRef>
                      </wps:style>
                      <wps:txbx>
                        <w:txbxContent>
                          <w:p w14:paraId="1FA649BB" w14:textId="77777777" w:rsidR="00012DD6" w:rsidRPr="006E5F27" w:rsidRDefault="00012DD6" w:rsidP="00012DD6">
                            <w:pPr>
                              <w:jc w:val="center"/>
                              <w:rPr>
                                <w:rFonts w:ascii="微软雅黑" w:eastAsia="微软雅黑" w:hAnsi="微软雅黑"/>
                                <w:b/>
                                <w:bCs/>
                                <w:sz w:val="32"/>
                                <w:szCs w:val="32"/>
                              </w:rPr>
                            </w:pPr>
                            <w:r w:rsidRPr="006E5F27">
                              <w:rPr>
                                <w:rFonts w:ascii="微软雅黑" w:eastAsia="微软雅黑" w:hAnsi="微软雅黑" w:hint="eastAsia"/>
                                <w:b/>
                                <w:bCs/>
                                <w:sz w:val="32"/>
                                <w:szCs w:val="32"/>
                              </w:rPr>
                              <w:t>资源快览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738A1" id="Rectangle 1" o:spid="_x0000_s1032" style="position:absolute;left:0;text-align:left;margin-left:125.25pt;margin-top:26pt;width:189.75pt;height:3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" fillcolor="#ee853d [3029]" stroked="f">
                <v:fill color2="#ec7a2d [3173]" rotate="t" colors="0 #f18c55;.5 #f67b28;1 #e56b17" focus="100%" type="gradient">
                  <o:fill v:ext="view" type="gradientUnscaled"/>
                </v:fill>
                <v:shadow on="t" color="black" opacity="41287f" offset="0,1.5pt"/>
                <v:textbox>
                  <w:txbxContent>
                    <w:p w14:paraId="1FA649BB" w14:textId="77777777" w:rsidR="00012DD6" w:rsidRPr="006E5F27" w:rsidRDefault="00012DD6" w:rsidP="00012DD6">
                      <w:pPr>
                        <w:jc w:val="center"/>
                        <w:rPr>
                          <w:rFonts w:ascii="微软雅黑" w:eastAsia="微软雅黑" w:hAnsi="微软雅黑"/>
                          <w:b/>
                          <w:bCs/>
                          <w:sz w:val="32"/>
                          <w:szCs w:val="32"/>
                        </w:rPr>
                      </w:pPr>
                      <w:r w:rsidRPr="006E5F27">
                        <w:rPr>
                          <w:rFonts w:ascii="微软雅黑" w:eastAsia="微软雅黑" w:hAnsi="微软雅黑" w:hint="eastAsia"/>
                          <w:b/>
                          <w:bCs/>
                          <w:sz w:val="32"/>
                          <w:szCs w:val="32"/>
                        </w:rPr>
                        <w:t>资源快览</w:t>
                      </w:r>
                    </w:p>
                  </w:txbxContent>
                </v:textbox>
                <w10:wrap type="topAndBottom" anchorx="margin"/>
              </v:rect>
            </w:pict>
          </mc:Fallback>
        </mc:AlternateContent>
      </w:r>
      <w:r w:rsidR="002C6032" w:rsidRPr="00EF5F90">
        <w:rPr>
          <w:rFonts w:ascii="微软雅黑" w:eastAsia="微软雅黑" w:hAnsi="微软雅黑" w:cs="Microsoft YaHei UI" w:hint="eastAsia"/>
        </w:rPr>
        <w:t>来源：上海交通大学报告 Scopus, 2019.04</w:t>
      </w:r>
    </w:p>
    <w:p w14:paraId="2329132E" w14:textId="77777777" w:rsidR="00FE0CFB" w:rsidRDefault="00FE0CFB" w:rsidP="00012DD6">
      <w:pPr>
        <w:spacing w:after="0" w:line="480" w:lineRule="exact"/>
        <w:ind w:firstLine="432"/>
        <w:rPr>
          <w:rFonts w:ascii="微软雅黑" w:eastAsia="微软雅黑" w:hAnsi="微软雅黑" w:cs="MicrosoftYaHei"/>
          <w:sz w:val="24"/>
          <w:szCs w:val="24"/>
        </w:rPr>
      </w:pPr>
      <w:r>
        <w:rPr>
          <w:rFonts w:ascii="微软雅黑" w:eastAsia="微软雅黑" w:hAnsi="微软雅黑" w:cs="MicrosoftYaHei" w:hint="eastAsia"/>
          <w:sz w:val="24"/>
          <w:szCs w:val="24"/>
        </w:rPr>
        <w:t>可访问的图书覆盖了理、工、农、生物、医、经管、人文、社科等多个学科领域，既有专业基础理论，又有实际应用案例；既有专题研究成果综述，又有最新科研进展，以及</w:t>
      </w:r>
      <w:r>
        <w:rPr>
          <w:rFonts w:ascii="微软雅黑" w:eastAsia="微软雅黑" w:hAnsi="微软雅黑" w:cs="MicrosoftYaHei" w:hint="eastAsia"/>
          <w:sz w:val="24"/>
          <w:szCs w:val="24"/>
        </w:rPr>
        <w:lastRenderedPageBreak/>
        <w:t>跨学科研究内容，揭示了这些学科近百年或者几十年以来的学术成就和发展情况。这些图书有助于：</w:t>
      </w:r>
    </w:p>
    <w:p w14:paraId="79D1851A" w14:textId="77777777" w:rsidR="00FE0CFB" w:rsidRPr="00012DD6" w:rsidRDefault="00FE0CFB" w:rsidP="00012DD6">
      <w:pPr>
        <w:spacing w:after="0" w:line="480" w:lineRule="exact"/>
        <w:rPr>
          <w:rFonts w:ascii="微软雅黑" w:eastAsia="微软雅黑" w:hAnsi="微软雅黑" w:cs="MicrosoftYaHei"/>
          <w:sz w:val="24"/>
          <w:szCs w:val="24"/>
        </w:rPr>
      </w:pPr>
      <w:r w:rsidRPr="00012DD6">
        <w:rPr>
          <w:rFonts w:ascii="微软雅黑" w:eastAsia="微软雅黑" w:hAnsi="微软雅黑" w:cs="MicrosoftYaHei" w:hint="eastAsia"/>
          <w:sz w:val="24"/>
          <w:szCs w:val="24"/>
        </w:rPr>
        <w:t>学生：学习和掌握学科专业基础理论知识，了解国外经典专业著作，打好专业基础；</w:t>
      </w:r>
    </w:p>
    <w:p w14:paraId="75EC3BE4" w14:textId="77777777" w:rsidR="00FE0CFB" w:rsidRPr="00012DD6" w:rsidRDefault="00FE0CFB" w:rsidP="00012DD6">
      <w:pPr>
        <w:spacing w:after="0" w:line="480" w:lineRule="exact"/>
        <w:rPr>
          <w:rFonts w:ascii="微软雅黑" w:eastAsia="微软雅黑" w:hAnsi="微软雅黑" w:cs="MicrosoftYaHei"/>
          <w:sz w:val="24"/>
          <w:szCs w:val="24"/>
        </w:rPr>
      </w:pPr>
      <w:r w:rsidRPr="00012DD6">
        <w:rPr>
          <w:rFonts w:ascii="微软雅黑" w:eastAsia="微软雅黑" w:hAnsi="微软雅黑" w:cs="MicrosoftYaHei" w:hint="eastAsia"/>
          <w:sz w:val="24"/>
          <w:szCs w:val="24"/>
        </w:rPr>
        <w:t>教师：拓宽专业视野和认知，优选教学和拓展阅读材料，为学生提供更好地指导；</w:t>
      </w:r>
    </w:p>
    <w:p w14:paraId="02C28701" w14:textId="4A628B29" w:rsidR="00FE0CFB" w:rsidRDefault="00FE0CFB" w:rsidP="00012DD6">
      <w:pPr>
        <w:spacing w:after="0" w:line="480" w:lineRule="exact"/>
        <w:rPr>
          <w:rFonts w:ascii="微软雅黑" w:eastAsia="微软雅黑" w:hAnsi="微软雅黑" w:cs="MicrosoftYaHei"/>
          <w:sz w:val="24"/>
          <w:szCs w:val="24"/>
        </w:rPr>
      </w:pPr>
      <w:r w:rsidRPr="00012DD6">
        <w:rPr>
          <w:rFonts w:ascii="微软雅黑" w:eastAsia="微软雅黑" w:hAnsi="微软雅黑" w:cs="MicrosoftYaHei" w:hint="eastAsia"/>
          <w:sz w:val="24"/>
          <w:szCs w:val="24"/>
        </w:rPr>
        <w:t>科研人员：系统性地把握学术脉络、前沿以及方法论，为科研选题、科研效率，以及交叉学科研究，提供洞见和启发</w:t>
      </w:r>
    </w:p>
    <w:p w14:paraId="41816FCC" w14:textId="08A3268D" w:rsidR="00E4228A" w:rsidRDefault="00E4228A" w:rsidP="00012DD6">
      <w:pPr>
        <w:spacing w:after="0" w:line="480" w:lineRule="exact"/>
        <w:rPr>
          <w:rFonts w:ascii="微软雅黑" w:eastAsia="微软雅黑" w:hAnsi="微软雅黑" w:cs="MicrosoftYaHei"/>
          <w:sz w:val="24"/>
          <w:szCs w:val="24"/>
        </w:rPr>
      </w:pPr>
      <w:r>
        <w:rPr>
          <w:rFonts w:ascii="微软雅黑" w:eastAsia="微软雅黑" w:hAnsi="微软雅黑" w:cs="MicrosoftYaHei" w:hint="eastAsia"/>
          <w:sz w:val="24"/>
          <w:szCs w:val="24"/>
        </w:rPr>
        <w:t>临床医生及医护人员：掌握经典和最新的诊疗技术，用药信息等</w:t>
      </w:r>
      <w:r w:rsidR="00017D78">
        <w:rPr>
          <w:rFonts w:ascii="微软雅黑" w:eastAsia="微软雅黑" w:hAnsi="微软雅黑" w:cs="MicrosoftYaHei" w:hint="eastAsia"/>
          <w:sz w:val="24"/>
          <w:szCs w:val="24"/>
        </w:rPr>
        <w:t>；</w:t>
      </w:r>
    </w:p>
    <w:p w14:paraId="760A9E20" w14:textId="77777777" w:rsidR="00017D78" w:rsidRPr="00012DD6" w:rsidRDefault="00017D78" w:rsidP="00012DD6">
      <w:pPr>
        <w:spacing w:after="0" w:line="480" w:lineRule="exact"/>
        <w:rPr>
          <w:rFonts w:ascii="微软雅黑" w:eastAsia="微软雅黑" w:hAnsi="微软雅黑" w:cs="MicrosoftYaHei" w:hint="eastAsia"/>
          <w:sz w:val="24"/>
          <w:szCs w:val="24"/>
        </w:rPr>
      </w:pPr>
    </w:p>
    <w:p w14:paraId="2BBE2CF4" w14:textId="4F1D90E6" w:rsidR="00BF2EF4" w:rsidRPr="006C2FA1" w:rsidRDefault="00BF2EF4" w:rsidP="00017D78">
      <w:pPr>
        <w:spacing w:after="0" w:line="240" w:lineRule="auto"/>
        <w:rPr>
          <w:rFonts w:ascii="微软雅黑" w:eastAsia="微软雅黑" w:hAnsi="微软雅黑" w:cs="MicrosoftYaHei"/>
          <w:b/>
          <w:bCs/>
          <w:sz w:val="24"/>
          <w:szCs w:val="24"/>
        </w:rPr>
      </w:pPr>
      <w:r w:rsidRPr="006C2FA1">
        <w:rPr>
          <w:rFonts w:ascii="微软雅黑" w:eastAsia="微软雅黑" w:hAnsi="微软雅黑" w:cs="MicrosoftYaHei" w:hint="eastAsia"/>
          <w:b/>
          <w:bCs/>
          <w:sz w:val="24"/>
          <w:szCs w:val="24"/>
        </w:rPr>
        <w:t>各学科资源简要介绍：</w:t>
      </w:r>
    </w:p>
    <w:tbl>
      <w:tblPr>
        <w:tblW w:w="108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179"/>
        <w:gridCol w:w="7623"/>
        <w:gridCol w:w="909"/>
      </w:tblGrid>
      <w:tr w:rsidR="00BF2EF4" w:rsidRPr="006C2FA1" w14:paraId="7235CF9A" w14:textId="77777777" w:rsidTr="00C74D46">
        <w:trPr>
          <w:trHeight w:val="247"/>
        </w:trPr>
        <w:tc>
          <w:tcPr>
            <w:tcW w:w="1179" w:type="dxa"/>
            <w:shd w:val="clear" w:color="auto" w:fill="auto"/>
            <w:vAlign w:val="center"/>
            <w:hideMark/>
          </w:tcPr>
          <w:p w14:paraId="39CF6834" w14:textId="77777777" w:rsidR="00BF2EF4" w:rsidRPr="008B0924" w:rsidRDefault="00BF2EF4" w:rsidP="00C74D46">
            <w:pPr>
              <w:adjustRightInd w:val="0"/>
              <w:snapToGrid w:val="0"/>
              <w:spacing w:after="0" w:line="240" w:lineRule="auto"/>
              <w:rPr>
                <w:rFonts w:ascii="Calibri" w:eastAsia="Times New Roman" w:hAnsi="Calibri" w:cs="Calibri"/>
                <w:b/>
                <w:bCs/>
                <w:color w:val="000000"/>
              </w:rPr>
            </w:pPr>
            <w:r w:rsidRPr="008B0924">
              <w:rPr>
                <w:rFonts w:ascii="微软雅黑" w:eastAsia="微软雅黑" w:hAnsi="微软雅黑" w:cs="微软雅黑" w:hint="eastAsia"/>
                <w:b/>
                <w:bCs/>
                <w:color w:val="000000"/>
              </w:rPr>
              <w:t>门</w:t>
            </w:r>
            <w:r w:rsidRPr="008B0924">
              <w:rPr>
                <w:rFonts w:ascii="微软雅黑" w:eastAsia="微软雅黑" w:hAnsi="微软雅黑" w:cs="微软雅黑"/>
                <w:b/>
                <w:bCs/>
                <w:color w:val="000000"/>
              </w:rPr>
              <w:t>类</w:t>
            </w:r>
          </w:p>
        </w:tc>
        <w:tc>
          <w:tcPr>
            <w:tcW w:w="1179" w:type="dxa"/>
            <w:shd w:val="clear" w:color="auto" w:fill="auto"/>
            <w:vAlign w:val="center"/>
            <w:hideMark/>
          </w:tcPr>
          <w:p w14:paraId="64DD6B61" w14:textId="77777777" w:rsidR="00BF2EF4" w:rsidRPr="008B0924" w:rsidRDefault="00BF2EF4" w:rsidP="00C74D46">
            <w:pPr>
              <w:adjustRightInd w:val="0"/>
              <w:snapToGrid w:val="0"/>
              <w:spacing w:after="0" w:line="240" w:lineRule="auto"/>
              <w:rPr>
                <w:rFonts w:ascii="Calibri" w:eastAsia="Times New Roman" w:hAnsi="Calibri" w:cs="Calibri"/>
                <w:b/>
                <w:bCs/>
                <w:color w:val="000000"/>
              </w:rPr>
            </w:pPr>
            <w:r w:rsidRPr="008B0924">
              <w:rPr>
                <w:rFonts w:ascii="微软雅黑" w:eastAsia="微软雅黑" w:hAnsi="微软雅黑" w:cs="微软雅黑"/>
                <w:b/>
                <w:bCs/>
                <w:color w:val="000000"/>
              </w:rPr>
              <w:t>学科</w:t>
            </w:r>
          </w:p>
        </w:tc>
        <w:tc>
          <w:tcPr>
            <w:tcW w:w="7623" w:type="dxa"/>
            <w:shd w:val="clear" w:color="auto" w:fill="auto"/>
            <w:vAlign w:val="center"/>
            <w:hideMark/>
          </w:tcPr>
          <w:p w14:paraId="1D6D55F0" w14:textId="77777777" w:rsidR="00BF2EF4" w:rsidRPr="008B0924" w:rsidRDefault="00BF2EF4" w:rsidP="00C74D46">
            <w:pPr>
              <w:adjustRightInd w:val="0"/>
              <w:snapToGrid w:val="0"/>
              <w:spacing w:after="0" w:line="240" w:lineRule="auto"/>
              <w:rPr>
                <w:rFonts w:ascii="Calibri" w:eastAsia="Times New Roman" w:hAnsi="Calibri" w:cs="Calibri"/>
                <w:b/>
                <w:bCs/>
                <w:color w:val="000000"/>
              </w:rPr>
            </w:pPr>
            <w:r w:rsidRPr="008B0924">
              <w:rPr>
                <w:rFonts w:ascii="微软雅黑" w:eastAsia="微软雅黑" w:hAnsi="微软雅黑" w:cs="微软雅黑"/>
                <w:b/>
                <w:bCs/>
                <w:color w:val="000000"/>
              </w:rPr>
              <w:t>学科简要介绍</w:t>
            </w:r>
          </w:p>
        </w:tc>
        <w:tc>
          <w:tcPr>
            <w:tcW w:w="909" w:type="dxa"/>
            <w:shd w:val="clear" w:color="auto" w:fill="auto"/>
            <w:vAlign w:val="center"/>
            <w:hideMark/>
          </w:tcPr>
          <w:p w14:paraId="068688AC" w14:textId="77777777" w:rsidR="00BF2EF4" w:rsidRPr="008B0924" w:rsidRDefault="00BF2EF4" w:rsidP="00C74D46">
            <w:pPr>
              <w:adjustRightInd w:val="0"/>
              <w:snapToGrid w:val="0"/>
              <w:spacing w:after="0" w:line="240" w:lineRule="auto"/>
              <w:rPr>
                <w:rFonts w:ascii="Calibri" w:eastAsia="Times New Roman" w:hAnsi="Calibri" w:cs="Calibri"/>
                <w:b/>
                <w:bCs/>
                <w:color w:val="000000"/>
              </w:rPr>
            </w:pPr>
            <w:r w:rsidRPr="008B0924">
              <w:rPr>
                <w:rFonts w:ascii="微软雅黑" w:eastAsia="微软雅黑" w:hAnsi="微软雅黑" w:cs="微软雅黑"/>
                <w:b/>
                <w:bCs/>
                <w:color w:val="000000"/>
              </w:rPr>
              <w:t>资源量</w:t>
            </w:r>
          </w:p>
        </w:tc>
      </w:tr>
      <w:tr w:rsidR="00BF2EF4" w:rsidRPr="008B0924" w14:paraId="6FD115DE" w14:textId="77777777" w:rsidTr="00C74D46">
        <w:trPr>
          <w:trHeight w:val="1238"/>
        </w:trPr>
        <w:tc>
          <w:tcPr>
            <w:tcW w:w="1179" w:type="dxa"/>
            <w:shd w:val="clear" w:color="auto" w:fill="auto"/>
            <w:vAlign w:val="center"/>
            <w:hideMark/>
          </w:tcPr>
          <w:p w14:paraId="156A2BBA"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理工</w:t>
            </w:r>
          </w:p>
        </w:tc>
        <w:tc>
          <w:tcPr>
            <w:tcW w:w="1179" w:type="dxa"/>
            <w:shd w:val="clear" w:color="auto" w:fill="auto"/>
            <w:vAlign w:val="center"/>
            <w:hideMark/>
          </w:tcPr>
          <w:p w14:paraId="251C3DE3"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数学</w:t>
            </w:r>
            <w:r w:rsidRPr="008B0924">
              <w:rPr>
                <w:rFonts w:ascii="Calibri" w:eastAsia="Times New Roman" w:hAnsi="Calibri" w:cs="Calibri"/>
                <w:color w:val="000000"/>
              </w:rPr>
              <w:t>/</w:t>
            </w:r>
            <w:r w:rsidRPr="008B0924">
              <w:rPr>
                <w:rFonts w:ascii="微软雅黑" w:eastAsia="微软雅黑" w:hAnsi="微软雅黑" w:cs="微软雅黑"/>
                <w:color w:val="000000"/>
              </w:rPr>
              <w:t>物理与天文</w:t>
            </w:r>
            <w:r w:rsidRPr="008B0924">
              <w:rPr>
                <w:rFonts w:ascii="Calibri" w:eastAsia="Times New Roman" w:hAnsi="Calibri" w:cs="Calibri"/>
                <w:color w:val="000000"/>
              </w:rPr>
              <w:t>/</w:t>
            </w:r>
            <w:r w:rsidRPr="008B0924">
              <w:rPr>
                <w:rFonts w:ascii="微软雅黑" w:eastAsia="微软雅黑" w:hAnsi="微软雅黑" w:cs="微软雅黑"/>
                <w:color w:val="000000"/>
              </w:rPr>
              <w:t>计算机</w:t>
            </w:r>
          </w:p>
        </w:tc>
        <w:tc>
          <w:tcPr>
            <w:tcW w:w="7623" w:type="dxa"/>
            <w:shd w:val="clear" w:color="auto" w:fill="auto"/>
            <w:vAlign w:val="center"/>
            <w:hideMark/>
          </w:tcPr>
          <w:p w14:paraId="477EF399"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综合了数学、物理天文、计算机科学领域的内容，为学习和科研提供基础的信息。数学领域提供了一系列涵盖数学，统计学，数据分析等方面内容；物理学和计算主题的基础知识和应用内容，为学生和研究人员提供了这些关键领域的相关背景知识，以及分析和应用跨学科概念的宝贵应用程序。</w:t>
            </w:r>
          </w:p>
        </w:tc>
        <w:tc>
          <w:tcPr>
            <w:tcW w:w="909" w:type="dxa"/>
            <w:shd w:val="clear" w:color="auto" w:fill="auto"/>
            <w:vAlign w:val="center"/>
            <w:hideMark/>
          </w:tcPr>
          <w:p w14:paraId="6C540F05"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5000+</w:t>
            </w:r>
          </w:p>
        </w:tc>
      </w:tr>
      <w:tr w:rsidR="00BF2EF4" w:rsidRPr="008B0924" w14:paraId="031030F9" w14:textId="77777777" w:rsidTr="00C74D46">
        <w:trPr>
          <w:trHeight w:val="1238"/>
        </w:trPr>
        <w:tc>
          <w:tcPr>
            <w:tcW w:w="1179" w:type="dxa"/>
            <w:shd w:val="clear" w:color="auto" w:fill="auto"/>
            <w:vAlign w:val="center"/>
            <w:hideMark/>
          </w:tcPr>
          <w:p w14:paraId="4340EAF2"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理工</w:t>
            </w:r>
          </w:p>
        </w:tc>
        <w:tc>
          <w:tcPr>
            <w:tcW w:w="1179" w:type="dxa"/>
            <w:shd w:val="clear" w:color="auto" w:fill="auto"/>
            <w:vAlign w:val="center"/>
            <w:hideMark/>
          </w:tcPr>
          <w:p w14:paraId="2C822526"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化学</w:t>
            </w:r>
          </w:p>
        </w:tc>
        <w:tc>
          <w:tcPr>
            <w:tcW w:w="7623" w:type="dxa"/>
            <w:shd w:val="clear" w:color="auto" w:fill="auto"/>
            <w:vAlign w:val="center"/>
            <w:hideMark/>
          </w:tcPr>
          <w:p w14:paraId="17D7F77A"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化学是科学研究的基础，跨学科的研究人员和学生需要获得基础化学内容以及方法、指南和应用等方面内容。这些图书由知名专家撰写，重点关注用户和研究数据以识别正在发展的重要新领域，提供了涵盖分析，有机，无机，物理，理论，计算和可持续等领域的内容，深度和广度兼备。</w:t>
            </w:r>
          </w:p>
        </w:tc>
        <w:tc>
          <w:tcPr>
            <w:tcW w:w="909" w:type="dxa"/>
            <w:shd w:val="clear" w:color="auto" w:fill="auto"/>
            <w:vAlign w:val="center"/>
            <w:hideMark/>
          </w:tcPr>
          <w:p w14:paraId="533DC089"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3000+</w:t>
            </w:r>
          </w:p>
        </w:tc>
      </w:tr>
      <w:tr w:rsidR="00BF2EF4" w:rsidRPr="008B0924" w14:paraId="385632AE" w14:textId="77777777" w:rsidTr="00C74D46">
        <w:trPr>
          <w:trHeight w:val="742"/>
        </w:trPr>
        <w:tc>
          <w:tcPr>
            <w:tcW w:w="1179" w:type="dxa"/>
            <w:shd w:val="clear" w:color="auto" w:fill="auto"/>
            <w:vAlign w:val="center"/>
            <w:hideMark/>
          </w:tcPr>
          <w:p w14:paraId="1F3374D6"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理工</w:t>
            </w:r>
          </w:p>
        </w:tc>
        <w:tc>
          <w:tcPr>
            <w:tcW w:w="1179" w:type="dxa"/>
            <w:shd w:val="clear" w:color="auto" w:fill="auto"/>
            <w:vAlign w:val="center"/>
            <w:hideMark/>
          </w:tcPr>
          <w:p w14:paraId="1415E7F3"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地球与行星科学</w:t>
            </w:r>
          </w:p>
        </w:tc>
        <w:tc>
          <w:tcPr>
            <w:tcW w:w="7623" w:type="dxa"/>
            <w:shd w:val="clear" w:color="auto" w:fill="auto"/>
            <w:vAlign w:val="center"/>
            <w:hideMark/>
          </w:tcPr>
          <w:p w14:paraId="27701438"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涵盖地球科学各方面的研究，包括火山学、地震学、灾害与灾难、地质学、地球化学、地球物理学、土壤</w:t>
            </w:r>
            <w:r w:rsidRPr="008B0924">
              <w:rPr>
                <w:rFonts w:ascii="Calibri" w:eastAsia="Times New Roman" w:hAnsi="Calibri" w:cs="Calibri"/>
                <w:color w:val="000000"/>
              </w:rPr>
              <w:t xml:space="preserve"> </w:t>
            </w:r>
            <w:r w:rsidRPr="008B0924">
              <w:rPr>
                <w:rFonts w:ascii="微软雅黑" w:eastAsia="微软雅黑" w:hAnsi="微软雅黑" w:cs="微软雅黑"/>
                <w:color w:val="000000"/>
              </w:rPr>
              <w:t>、行星科学等，既有核心基础领域，也有新兴交叉内容。</w:t>
            </w:r>
          </w:p>
        </w:tc>
        <w:tc>
          <w:tcPr>
            <w:tcW w:w="909" w:type="dxa"/>
            <w:shd w:val="clear" w:color="auto" w:fill="auto"/>
            <w:vAlign w:val="center"/>
            <w:hideMark/>
          </w:tcPr>
          <w:p w14:paraId="11C47200"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1000+</w:t>
            </w:r>
          </w:p>
        </w:tc>
      </w:tr>
      <w:tr w:rsidR="00BF2EF4" w:rsidRPr="008B0924" w14:paraId="4EB5AD58" w14:textId="77777777" w:rsidTr="00C74D46">
        <w:trPr>
          <w:trHeight w:val="742"/>
        </w:trPr>
        <w:tc>
          <w:tcPr>
            <w:tcW w:w="1179" w:type="dxa"/>
            <w:shd w:val="clear" w:color="auto" w:fill="auto"/>
            <w:vAlign w:val="center"/>
            <w:hideMark/>
          </w:tcPr>
          <w:p w14:paraId="5DE31E64"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理工</w:t>
            </w:r>
          </w:p>
        </w:tc>
        <w:tc>
          <w:tcPr>
            <w:tcW w:w="1179" w:type="dxa"/>
            <w:shd w:val="clear" w:color="auto" w:fill="auto"/>
            <w:vAlign w:val="center"/>
            <w:hideMark/>
          </w:tcPr>
          <w:p w14:paraId="6D11D2B8"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环境科学</w:t>
            </w:r>
          </w:p>
        </w:tc>
        <w:tc>
          <w:tcPr>
            <w:tcW w:w="7623" w:type="dxa"/>
            <w:shd w:val="clear" w:color="auto" w:fill="auto"/>
            <w:vAlign w:val="center"/>
            <w:hideMark/>
          </w:tcPr>
          <w:p w14:paraId="5FCDC85D"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该学科关注当今社会所面临的关键问题，提供资源信息。持续关注快速发展的多学科研究领域，例如可持续性，水生科学，大气科学和气候变化等。</w:t>
            </w:r>
          </w:p>
        </w:tc>
        <w:tc>
          <w:tcPr>
            <w:tcW w:w="909" w:type="dxa"/>
            <w:shd w:val="clear" w:color="auto" w:fill="auto"/>
            <w:vAlign w:val="center"/>
            <w:hideMark/>
          </w:tcPr>
          <w:p w14:paraId="748C8ACC"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700+</w:t>
            </w:r>
          </w:p>
        </w:tc>
      </w:tr>
      <w:tr w:rsidR="00BF2EF4" w:rsidRPr="008B0924" w14:paraId="4A7A0381" w14:textId="77777777" w:rsidTr="00C74D46">
        <w:trPr>
          <w:trHeight w:val="1238"/>
        </w:trPr>
        <w:tc>
          <w:tcPr>
            <w:tcW w:w="1179" w:type="dxa"/>
            <w:shd w:val="clear" w:color="auto" w:fill="auto"/>
            <w:vAlign w:val="center"/>
            <w:hideMark/>
          </w:tcPr>
          <w:p w14:paraId="2AC7DEEA"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理工</w:t>
            </w:r>
          </w:p>
        </w:tc>
        <w:tc>
          <w:tcPr>
            <w:tcW w:w="1179" w:type="dxa"/>
            <w:shd w:val="clear" w:color="auto" w:fill="auto"/>
            <w:vAlign w:val="center"/>
            <w:hideMark/>
          </w:tcPr>
          <w:p w14:paraId="50BF7798"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材料科学</w:t>
            </w:r>
          </w:p>
        </w:tc>
        <w:tc>
          <w:tcPr>
            <w:tcW w:w="7623" w:type="dxa"/>
            <w:shd w:val="clear" w:color="auto" w:fill="auto"/>
            <w:vAlign w:val="center"/>
            <w:hideMark/>
          </w:tcPr>
          <w:p w14:paraId="5C5BF216"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材料科学是一项高投入和创新的领域，它提供了正在改变产品和结构功能的新型高性能材料：如手机，太阳能电池板，生物医学植入物，建筑技术</w:t>
            </w:r>
            <w:r w:rsidRPr="008B0924">
              <w:rPr>
                <w:rFonts w:ascii="Calibri" w:eastAsia="Times New Roman" w:hAnsi="Calibri" w:cs="Calibri"/>
                <w:color w:val="000000"/>
              </w:rPr>
              <w:t>…</w:t>
            </w:r>
            <w:r w:rsidRPr="008B0924">
              <w:rPr>
                <w:rFonts w:ascii="微软雅黑" w:eastAsia="微软雅黑" w:hAnsi="微软雅黑" w:cs="微软雅黑"/>
                <w:color w:val="000000"/>
              </w:rPr>
              <w:t>等。该学科的图书将为读者提供全方位的内容，以及大量的跨学科内容，参考资料和实用指南。</w:t>
            </w:r>
          </w:p>
        </w:tc>
        <w:tc>
          <w:tcPr>
            <w:tcW w:w="909" w:type="dxa"/>
            <w:shd w:val="clear" w:color="auto" w:fill="auto"/>
            <w:vAlign w:val="center"/>
            <w:hideMark/>
          </w:tcPr>
          <w:p w14:paraId="4E631719"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1800+</w:t>
            </w:r>
          </w:p>
        </w:tc>
      </w:tr>
      <w:tr w:rsidR="00BF2EF4" w:rsidRPr="008B0924" w14:paraId="68E27307" w14:textId="77777777" w:rsidTr="00C74D46">
        <w:trPr>
          <w:trHeight w:val="990"/>
        </w:trPr>
        <w:tc>
          <w:tcPr>
            <w:tcW w:w="1179" w:type="dxa"/>
            <w:shd w:val="clear" w:color="auto" w:fill="auto"/>
            <w:vAlign w:val="center"/>
            <w:hideMark/>
          </w:tcPr>
          <w:p w14:paraId="45E55B82"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理工</w:t>
            </w:r>
          </w:p>
        </w:tc>
        <w:tc>
          <w:tcPr>
            <w:tcW w:w="1179" w:type="dxa"/>
            <w:shd w:val="clear" w:color="auto" w:fill="auto"/>
            <w:vAlign w:val="center"/>
            <w:hideMark/>
          </w:tcPr>
          <w:p w14:paraId="0AF4566F"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能源</w:t>
            </w:r>
          </w:p>
        </w:tc>
        <w:tc>
          <w:tcPr>
            <w:tcW w:w="7623" w:type="dxa"/>
            <w:shd w:val="clear" w:color="auto" w:fill="auto"/>
            <w:vAlign w:val="center"/>
            <w:hideMark/>
          </w:tcPr>
          <w:p w14:paraId="5AA48962"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满足未来的能源需求意味着做出明智的决策。能源学科提供替代能源，动力工程，核能，热能、风能、水能以及石油和天然气工程等方面的实践和研究内容。重点提供先进的基础知识，应用、方法、案例研究和数据分析等。</w:t>
            </w:r>
          </w:p>
        </w:tc>
        <w:tc>
          <w:tcPr>
            <w:tcW w:w="909" w:type="dxa"/>
            <w:shd w:val="clear" w:color="auto" w:fill="auto"/>
            <w:vAlign w:val="center"/>
            <w:hideMark/>
          </w:tcPr>
          <w:p w14:paraId="7537631E"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700+</w:t>
            </w:r>
          </w:p>
        </w:tc>
      </w:tr>
      <w:tr w:rsidR="00BF2EF4" w:rsidRPr="008B0924" w14:paraId="1A4B5AA7" w14:textId="77777777" w:rsidTr="00C74D46">
        <w:trPr>
          <w:trHeight w:val="1485"/>
        </w:trPr>
        <w:tc>
          <w:tcPr>
            <w:tcW w:w="1179" w:type="dxa"/>
            <w:shd w:val="clear" w:color="auto" w:fill="auto"/>
            <w:vAlign w:val="center"/>
            <w:hideMark/>
          </w:tcPr>
          <w:p w14:paraId="5263BA92"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lastRenderedPageBreak/>
              <w:t>理工</w:t>
            </w:r>
          </w:p>
        </w:tc>
        <w:tc>
          <w:tcPr>
            <w:tcW w:w="1179" w:type="dxa"/>
            <w:shd w:val="clear" w:color="auto" w:fill="auto"/>
            <w:vAlign w:val="center"/>
            <w:hideMark/>
          </w:tcPr>
          <w:p w14:paraId="56F94383"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工程学</w:t>
            </w:r>
          </w:p>
        </w:tc>
        <w:tc>
          <w:tcPr>
            <w:tcW w:w="7623" w:type="dxa"/>
            <w:shd w:val="clear" w:color="auto" w:fill="auto"/>
            <w:vAlign w:val="center"/>
            <w:hideMark/>
          </w:tcPr>
          <w:p w14:paraId="339FD594"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工程代表了一系列使技术创新的技术，这些技术将科学和材料创新转化为驱动现代世界的产品和服务。该学科图书内容提供研究人员所需的实用技术，以及使公司和工业部门能够将研究转化为创新的实际应用和产品，关注快速发展领域（例如</w:t>
            </w:r>
            <w:r w:rsidRPr="008B0924">
              <w:rPr>
                <w:rFonts w:ascii="Calibri" w:eastAsia="Times New Roman" w:hAnsi="Calibri" w:cs="Calibri"/>
                <w:color w:val="000000"/>
              </w:rPr>
              <w:t>3D</w:t>
            </w:r>
            <w:r w:rsidRPr="008B0924">
              <w:rPr>
                <w:rFonts w:ascii="微软雅黑" w:eastAsia="微软雅黑" w:hAnsi="微软雅黑" w:cs="微软雅黑"/>
                <w:color w:val="000000"/>
              </w:rPr>
              <w:t>打印），也对核心内容进行了一系列更新，以揭示最新的学科进展和突破。</w:t>
            </w:r>
          </w:p>
        </w:tc>
        <w:tc>
          <w:tcPr>
            <w:tcW w:w="909" w:type="dxa"/>
            <w:shd w:val="clear" w:color="auto" w:fill="auto"/>
            <w:vAlign w:val="center"/>
            <w:hideMark/>
          </w:tcPr>
          <w:p w14:paraId="15D15234"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5000+</w:t>
            </w:r>
          </w:p>
        </w:tc>
      </w:tr>
      <w:tr w:rsidR="00BF2EF4" w:rsidRPr="008B0924" w14:paraId="0D8EC134" w14:textId="77777777" w:rsidTr="00C74D46">
        <w:trPr>
          <w:trHeight w:val="1238"/>
        </w:trPr>
        <w:tc>
          <w:tcPr>
            <w:tcW w:w="1179" w:type="dxa"/>
            <w:shd w:val="clear" w:color="auto" w:fill="auto"/>
            <w:vAlign w:val="center"/>
            <w:hideMark/>
          </w:tcPr>
          <w:p w14:paraId="57E17043"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理工</w:t>
            </w:r>
          </w:p>
        </w:tc>
        <w:tc>
          <w:tcPr>
            <w:tcW w:w="1179" w:type="dxa"/>
            <w:shd w:val="clear" w:color="auto" w:fill="auto"/>
            <w:vAlign w:val="center"/>
            <w:hideMark/>
          </w:tcPr>
          <w:p w14:paraId="7E9CB1FF"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化学工程</w:t>
            </w:r>
          </w:p>
        </w:tc>
        <w:tc>
          <w:tcPr>
            <w:tcW w:w="7623" w:type="dxa"/>
            <w:shd w:val="clear" w:color="auto" w:fill="auto"/>
            <w:vAlign w:val="center"/>
            <w:hideMark/>
          </w:tcPr>
          <w:p w14:paraId="5C6586E9"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化学工程公司使用市场和用户数据来关注增长主题，包括生物技术，工艺开发，可持续性，催化和反应工程。来自权威作者和编辑的图书内容，为研究人员和行业专业人员共同解决科学与健康的重大问题的重要信息。这些图书提供了广泛的跨学科范围，提供了更深入的基础和应用知识。</w:t>
            </w:r>
          </w:p>
        </w:tc>
        <w:tc>
          <w:tcPr>
            <w:tcW w:w="909" w:type="dxa"/>
            <w:shd w:val="clear" w:color="auto" w:fill="auto"/>
            <w:vAlign w:val="center"/>
            <w:hideMark/>
          </w:tcPr>
          <w:p w14:paraId="3DF57B7A"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1200+</w:t>
            </w:r>
          </w:p>
        </w:tc>
      </w:tr>
      <w:tr w:rsidR="00BF2EF4" w:rsidRPr="008B0924" w14:paraId="21F608E4" w14:textId="77777777" w:rsidTr="00C74D46">
        <w:trPr>
          <w:trHeight w:val="1238"/>
        </w:trPr>
        <w:tc>
          <w:tcPr>
            <w:tcW w:w="1179" w:type="dxa"/>
            <w:shd w:val="clear" w:color="auto" w:fill="auto"/>
            <w:vAlign w:val="center"/>
            <w:hideMark/>
          </w:tcPr>
          <w:p w14:paraId="38969F1D"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理工</w:t>
            </w:r>
          </w:p>
        </w:tc>
        <w:tc>
          <w:tcPr>
            <w:tcW w:w="1179" w:type="dxa"/>
            <w:shd w:val="clear" w:color="auto" w:fill="auto"/>
            <w:vAlign w:val="center"/>
            <w:hideMark/>
          </w:tcPr>
          <w:p w14:paraId="0562F05C"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生物医学工程</w:t>
            </w:r>
          </w:p>
        </w:tc>
        <w:tc>
          <w:tcPr>
            <w:tcW w:w="7623" w:type="dxa"/>
            <w:shd w:val="clear" w:color="auto" w:fill="auto"/>
            <w:vAlign w:val="center"/>
            <w:hideMark/>
          </w:tcPr>
          <w:p w14:paraId="3FAB9E36"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着重于工程，材料和生物医学科学领域的跨学科应用。涵盖范围包括医疗设备和仪器，成像，辅助技术，生物力学，神经工程，生物材料。它为在工程学，政府和公司环境中将工程原理和材料技术应用于生物学，医学和临床问题的研究人员和专业人员提供服务。</w:t>
            </w:r>
          </w:p>
        </w:tc>
        <w:tc>
          <w:tcPr>
            <w:tcW w:w="909" w:type="dxa"/>
            <w:shd w:val="clear" w:color="auto" w:fill="auto"/>
            <w:vAlign w:val="center"/>
            <w:hideMark/>
          </w:tcPr>
          <w:p w14:paraId="35E15E93"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200+</w:t>
            </w:r>
          </w:p>
        </w:tc>
      </w:tr>
      <w:tr w:rsidR="00BF2EF4" w:rsidRPr="008B0924" w14:paraId="4CA65B3C" w14:textId="77777777" w:rsidTr="00C74D46">
        <w:trPr>
          <w:trHeight w:val="1238"/>
        </w:trPr>
        <w:tc>
          <w:tcPr>
            <w:tcW w:w="1179" w:type="dxa"/>
            <w:shd w:val="clear" w:color="auto" w:fill="auto"/>
            <w:vAlign w:val="center"/>
            <w:hideMark/>
          </w:tcPr>
          <w:p w14:paraId="76BFE459"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生命科学</w:t>
            </w:r>
          </w:p>
        </w:tc>
        <w:tc>
          <w:tcPr>
            <w:tcW w:w="1179" w:type="dxa"/>
            <w:shd w:val="clear" w:color="auto" w:fill="auto"/>
            <w:vAlign w:val="center"/>
            <w:hideMark/>
          </w:tcPr>
          <w:p w14:paraId="3AA81C26"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免疫学与微生物学</w:t>
            </w:r>
          </w:p>
        </w:tc>
        <w:tc>
          <w:tcPr>
            <w:tcW w:w="7623" w:type="dxa"/>
            <w:shd w:val="clear" w:color="auto" w:fill="auto"/>
            <w:vAlign w:val="center"/>
            <w:hideMark/>
          </w:tcPr>
          <w:p w14:paraId="5E4CB458"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该学科关注对人体免疫系统的深入了解，包括在肿瘤学，心脏病学和神经病学在内的健康科学等领域研究的进展，涵盖免疫系统问题，例如自身免疫性疾病，疫苗开发和病毒学。微生物学的内容扩展到了生物学，人类健康和工业应用等方面。</w:t>
            </w:r>
          </w:p>
        </w:tc>
        <w:tc>
          <w:tcPr>
            <w:tcW w:w="909" w:type="dxa"/>
            <w:shd w:val="clear" w:color="auto" w:fill="auto"/>
            <w:vAlign w:val="center"/>
            <w:hideMark/>
          </w:tcPr>
          <w:p w14:paraId="3FAF8C4E"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900+</w:t>
            </w:r>
          </w:p>
        </w:tc>
      </w:tr>
      <w:tr w:rsidR="00BF2EF4" w:rsidRPr="008B0924" w14:paraId="1BB57054" w14:textId="77777777" w:rsidTr="00C74D46">
        <w:trPr>
          <w:trHeight w:val="1238"/>
        </w:trPr>
        <w:tc>
          <w:tcPr>
            <w:tcW w:w="1179" w:type="dxa"/>
            <w:shd w:val="clear" w:color="auto" w:fill="auto"/>
            <w:vAlign w:val="center"/>
            <w:hideMark/>
          </w:tcPr>
          <w:p w14:paraId="2506F0E7"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生命科学</w:t>
            </w:r>
          </w:p>
        </w:tc>
        <w:tc>
          <w:tcPr>
            <w:tcW w:w="1179" w:type="dxa"/>
            <w:shd w:val="clear" w:color="auto" w:fill="auto"/>
            <w:vAlign w:val="center"/>
            <w:hideMark/>
          </w:tcPr>
          <w:p w14:paraId="16549B2C"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生物化学，遗传学与分子生物学</w:t>
            </w:r>
          </w:p>
        </w:tc>
        <w:tc>
          <w:tcPr>
            <w:tcW w:w="7623" w:type="dxa"/>
            <w:shd w:val="clear" w:color="auto" w:fill="auto"/>
            <w:vAlign w:val="center"/>
            <w:hideMark/>
          </w:tcPr>
          <w:p w14:paraId="46D1A4E0"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涵盖遗传学，基因组学，表观遗传学，酶和蛋白质科学，许多图书由于世界领先研究中心的知名人员所著述和编辑，相关的内容。该系列为所有生命科学领域的多学科研究提供非凡的价值，支持人类疾病理解，药物发现和精密医学方面的进步。</w:t>
            </w:r>
          </w:p>
        </w:tc>
        <w:tc>
          <w:tcPr>
            <w:tcW w:w="909" w:type="dxa"/>
            <w:shd w:val="clear" w:color="auto" w:fill="auto"/>
            <w:vAlign w:val="center"/>
            <w:hideMark/>
          </w:tcPr>
          <w:p w14:paraId="73AF008F"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3900+</w:t>
            </w:r>
          </w:p>
        </w:tc>
      </w:tr>
      <w:tr w:rsidR="00BF2EF4" w:rsidRPr="008B0924" w14:paraId="3A520745" w14:textId="77777777" w:rsidTr="00C74D46">
        <w:trPr>
          <w:trHeight w:val="742"/>
        </w:trPr>
        <w:tc>
          <w:tcPr>
            <w:tcW w:w="1179" w:type="dxa"/>
            <w:shd w:val="clear" w:color="auto" w:fill="auto"/>
            <w:vAlign w:val="center"/>
            <w:hideMark/>
          </w:tcPr>
          <w:p w14:paraId="1AA2FC18"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生命科学</w:t>
            </w:r>
          </w:p>
        </w:tc>
        <w:tc>
          <w:tcPr>
            <w:tcW w:w="1179" w:type="dxa"/>
            <w:shd w:val="clear" w:color="auto" w:fill="auto"/>
            <w:vAlign w:val="center"/>
            <w:hideMark/>
          </w:tcPr>
          <w:p w14:paraId="79ADD352"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药理，毒理与制药科学</w:t>
            </w:r>
          </w:p>
        </w:tc>
        <w:tc>
          <w:tcPr>
            <w:tcW w:w="7623" w:type="dxa"/>
            <w:shd w:val="clear" w:color="auto" w:fill="auto"/>
            <w:vAlign w:val="center"/>
            <w:hideMark/>
          </w:tcPr>
          <w:p w14:paraId="1C90F03F"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该领域提供了开发，测试和交付用于治疗多种疾病的药物的基础，以及新的策略和发现，兼顾学术和行业研究的平衡，为毒理学、药理学以及制药等领域的研究提供助力。</w:t>
            </w:r>
          </w:p>
        </w:tc>
        <w:tc>
          <w:tcPr>
            <w:tcW w:w="909" w:type="dxa"/>
            <w:shd w:val="clear" w:color="auto" w:fill="auto"/>
            <w:vAlign w:val="center"/>
            <w:hideMark/>
          </w:tcPr>
          <w:p w14:paraId="7F5D534F"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600+</w:t>
            </w:r>
          </w:p>
        </w:tc>
      </w:tr>
      <w:tr w:rsidR="00BF2EF4" w:rsidRPr="008B0924" w14:paraId="023A06D2" w14:textId="77777777" w:rsidTr="00C74D46">
        <w:trPr>
          <w:trHeight w:val="990"/>
        </w:trPr>
        <w:tc>
          <w:tcPr>
            <w:tcW w:w="1179" w:type="dxa"/>
            <w:shd w:val="clear" w:color="auto" w:fill="auto"/>
            <w:vAlign w:val="center"/>
            <w:hideMark/>
          </w:tcPr>
          <w:p w14:paraId="77EDA86C"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生命科学</w:t>
            </w:r>
          </w:p>
        </w:tc>
        <w:tc>
          <w:tcPr>
            <w:tcW w:w="1179" w:type="dxa"/>
            <w:shd w:val="clear" w:color="auto" w:fill="auto"/>
            <w:vAlign w:val="center"/>
            <w:hideMark/>
          </w:tcPr>
          <w:p w14:paraId="73632693"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农业，生物学与食品科学</w:t>
            </w:r>
          </w:p>
        </w:tc>
        <w:tc>
          <w:tcPr>
            <w:tcW w:w="7623" w:type="dxa"/>
            <w:shd w:val="clear" w:color="auto" w:fill="auto"/>
            <w:vAlign w:val="center"/>
            <w:hideMark/>
          </w:tcPr>
          <w:p w14:paraId="3DCBD29C"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该学科主要关注的主题包含有食品安全，营养与健康，土壤科学与农业，海洋生物学，可持续性，生物多样性等等。它既包含基础研究内容，又包含基于应用程序的内容，并为学生，早期职业研究人员以及专家提供服务。</w:t>
            </w:r>
          </w:p>
        </w:tc>
        <w:tc>
          <w:tcPr>
            <w:tcW w:w="909" w:type="dxa"/>
            <w:shd w:val="clear" w:color="auto" w:fill="auto"/>
            <w:vAlign w:val="center"/>
            <w:hideMark/>
          </w:tcPr>
          <w:p w14:paraId="4F5B723A"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3500+</w:t>
            </w:r>
          </w:p>
        </w:tc>
      </w:tr>
      <w:tr w:rsidR="00BF2EF4" w:rsidRPr="008B0924" w14:paraId="645DCE88" w14:textId="77777777" w:rsidTr="00C74D46">
        <w:trPr>
          <w:trHeight w:val="1733"/>
        </w:trPr>
        <w:tc>
          <w:tcPr>
            <w:tcW w:w="1179" w:type="dxa"/>
            <w:shd w:val="clear" w:color="auto" w:fill="auto"/>
            <w:vAlign w:val="center"/>
            <w:hideMark/>
          </w:tcPr>
          <w:p w14:paraId="07246169"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生命科学</w:t>
            </w:r>
          </w:p>
        </w:tc>
        <w:tc>
          <w:tcPr>
            <w:tcW w:w="1179" w:type="dxa"/>
            <w:shd w:val="clear" w:color="auto" w:fill="auto"/>
            <w:vAlign w:val="center"/>
            <w:hideMark/>
          </w:tcPr>
          <w:p w14:paraId="19B9B8B0"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心理学</w:t>
            </w:r>
          </w:p>
        </w:tc>
        <w:tc>
          <w:tcPr>
            <w:tcW w:w="7623" w:type="dxa"/>
            <w:shd w:val="clear" w:color="auto" w:fill="auto"/>
            <w:vAlign w:val="center"/>
            <w:hideMark/>
          </w:tcPr>
          <w:p w14:paraId="04EF039C"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心理学旨在更好地理解规范性和病理性功能，包括社会心理、临床心理、认知心理、实验心理、组织心理、行为学、进化心理等多个方面。比如，临床方面探讨了不同的患者人群，治疗形式和特定疾病，包括成瘾，自闭症，多动症，抑郁症，痴呆，精神分裂症等。科研方面探讨发展，个性，决策，方法和技术以及诸如父母身份，道德，宗教，创造力和衰老等一般性话题。</w:t>
            </w:r>
          </w:p>
        </w:tc>
        <w:tc>
          <w:tcPr>
            <w:tcW w:w="909" w:type="dxa"/>
            <w:shd w:val="clear" w:color="auto" w:fill="auto"/>
            <w:vAlign w:val="center"/>
            <w:hideMark/>
          </w:tcPr>
          <w:p w14:paraId="606A2D6E"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1200+</w:t>
            </w:r>
          </w:p>
        </w:tc>
      </w:tr>
      <w:tr w:rsidR="00BF2EF4" w:rsidRPr="008B0924" w14:paraId="278DD93F" w14:textId="77777777" w:rsidTr="00C74D46">
        <w:trPr>
          <w:trHeight w:val="1238"/>
        </w:trPr>
        <w:tc>
          <w:tcPr>
            <w:tcW w:w="1179" w:type="dxa"/>
            <w:shd w:val="clear" w:color="auto" w:fill="auto"/>
            <w:vAlign w:val="center"/>
            <w:hideMark/>
          </w:tcPr>
          <w:p w14:paraId="7DC91969"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lastRenderedPageBreak/>
              <w:t>生命科学</w:t>
            </w:r>
          </w:p>
        </w:tc>
        <w:tc>
          <w:tcPr>
            <w:tcW w:w="1179" w:type="dxa"/>
            <w:shd w:val="clear" w:color="auto" w:fill="auto"/>
            <w:vAlign w:val="center"/>
            <w:hideMark/>
          </w:tcPr>
          <w:p w14:paraId="26E0C177"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神经系统科学</w:t>
            </w:r>
          </w:p>
        </w:tc>
        <w:tc>
          <w:tcPr>
            <w:tcW w:w="7623" w:type="dxa"/>
            <w:shd w:val="clear" w:color="auto" w:fill="auto"/>
            <w:vAlign w:val="center"/>
            <w:hideMark/>
          </w:tcPr>
          <w:p w14:paraId="176AB080"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该领域既包含学科基础知识，又有对焦点研究领域如个性化医学等方面的最新成果信息，涵盖了多方面的研究，如行为神经科学、认知神经科学、生物精神病学、神经内分泌学，神经免疫学，、细胞</w:t>
            </w:r>
            <w:r w:rsidRPr="008B0924">
              <w:rPr>
                <w:rFonts w:ascii="Calibri" w:eastAsia="Times New Roman" w:hAnsi="Calibri" w:cs="Calibri"/>
                <w:color w:val="000000"/>
              </w:rPr>
              <w:t>/</w:t>
            </w:r>
            <w:r w:rsidRPr="008B0924">
              <w:rPr>
                <w:rFonts w:ascii="微软雅黑" w:eastAsia="微软雅黑" w:hAnsi="微软雅黑" w:cs="微软雅黑"/>
                <w:color w:val="000000"/>
              </w:rPr>
              <w:t>分子</w:t>
            </w:r>
            <w:r w:rsidRPr="008B0924">
              <w:rPr>
                <w:rFonts w:ascii="Calibri" w:eastAsia="Times New Roman" w:hAnsi="Calibri" w:cs="Calibri"/>
                <w:color w:val="000000"/>
              </w:rPr>
              <w:t>/</w:t>
            </w:r>
            <w:r w:rsidRPr="008B0924">
              <w:rPr>
                <w:rFonts w:ascii="微软雅黑" w:eastAsia="微软雅黑" w:hAnsi="微软雅黑" w:cs="微软雅黑"/>
                <w:color w:val="000000"/>
              </w:rPr>
              <w:t>发育、方法（包括神经成像，计算和神经信息学）、神经解剖学</w:t>
            </w:r>
            <w:r w:rsidRPr="008B0924">
              <w:rPr>
                <w:rFonts w:ascii="Calibri" w:eastAsia="Times New Roman" w:hAnsi="Calibri" w:cs="Calibri"/>
                <w:color w:val="000000"/>
              </w:rPr>
              <w:t>/</w:t>
            </w:r>
            <w:r w:rsidRPr="008B0924">
              <w:rPr>
                <w:rFonts w:ascii="微软雅黑" w:eastAsia="微软雅黑" w:hAnsi="微软雅黑" w:cs="微软雅黑"/>
                <w:color w:val="000000"/>
              </w:rPr>
              <w:t>图集、临床转化、感官等。</w:t>
            </w:r>
          </w:p>
        </w:tc>
        <w:tc>
          <w:tcPr>
            <w:tcW w:w="909" w:type="dxa"/>
            <w:shd w:val="clear" w:color="auto" w:fill="auto"/>
            <w:vAlign w:val="center"/>
            <w:hideMark/>
          </w:tcPr>
          <w:p w14:paraId="7301CFCD"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1100+</w:t>
            </w:r>
          </w:p>
        </w:tc>
      </w:tr>
      <w:tr w:rsidR="00BF2EF4" w:rsidRPr="008B0924" w14:paraId="45C4BC8D" w14:textId="77777777" w:rsidTr="00C74D46">
        <w:trPr>
          <w:trHeight w:val="1238"/>
        </w:trPr>
        <w:tc>
          <w:tcPr>
            <w:tcW w:w="1179" w:type="dxa"/>
            <w:shd w:val="clear" w:color="auto" w:fill="auto"/>
            <w:vAlign w:val="center"/>
            <w:hideMark/>
          </w:tcPr>
          <w:p w14:paraId="07D3FD6A"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医学</w:t>
            </w:r>
          </w:p>
        </w:tc>
        <w:tc>
          <w:tcPr>
            <w:tcW w:w="1179" w:type="dxa"/>
            <w:shd w:val="clear" w:color="auto" w:fill="auto"/>
            <w:vAlign w:val="center"/>
            <w:hideMark/>
          </w:tcPr>
          <w:p w14:paraId="6AAD6F79"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生物医学与医学</w:t>
            </w:r>
          </w:p>
        </w:tc>
        <w:tc>
          <w:tcPr>
            <w:tcW w:w="7623" w:type="dxa"/>
            <w:shd w:val="clear" w:color="auto" w:fill="auto"/>
            <w:vAlign w:val="center"/>
            <w:hideMark/>
          </w:tcPr>
          <w:p w14:paraId="1A9A55FE"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br/>
            </w:r>
            <w:r w:rsidRPr="008B0924">
              <w:rPr>
                <w:rFonts w:ascii="微软雅黑" w:eastAsia="微软雅黑" w:hAnsi="微软雅黑" w:cs="微软雅黑"/>
                <w:color w:val="000000"/>
              </w:rPr>
              <w:t>基础生命科学，临床前转化研究和临床应用相结合，代表了生物医学领域的跨学科分支，它通过使用高度跨学科的</w:t>
            </w:r>
            <w:r w:rsidRPr="008B0924">
              <w:rPr>
                <w:rFonts w:ascii="Calibri" w:eastAsia="Times New Roman" w:hAnsi="Calibri" w:cs="Calibri"/>
                <w:color w:val="000000"/>
              </w:rPr>
              <w:t>“</w:t>
            </w:r>
            <w:r w:rsidRPr="008B0924">
              <w:rPr>
                <w:rFonts w:ascii="微软雅黑" w:eastAsia="微软雅黑" w:hAnsi="微软雅黑" w:cs="微软雅黑"/>
                <w:color w:val="000000"/>
              </w:rPr>
              <w:t>从台到床</w:t>
            </w:r>
            <w:r w:rsidRPr="008B0924">
              <w:rPr>
                <w:rFonts w:ascii="Calibri" w:eastAsia="Times New Roman" w:hAnsi="Calibri" w:cs="Calibri"/>
                <w:color w:val="000000"/>
              </w:rPr>
              <w:t>”</w:t>
            </w:r>
            <w:r w:rsidRPr="008B0924">
              <w:rPr>
                <w:rFonts w:ascii="微软雅黑" w:eastAsia="微软雅黑" w:hAnsi="微软雅黑" w:cs="微软雅黑"/>
                <w:color w:val="000000"/>
              </w:rPr>
              <w:t>方法，加快了预防的速度以及新诊断工具和治疗方法的发现，是通往临床医学的桥梁。</w:t>
            </w:r>
          </w:p>
        </w:tc>
        <w:tc>
          <w:tcPr>
            <w:tcW w:w="909" w:type="dxa"/>
            <w:shd w:val="clear" w:color="auto" w:fill="auto"/>
            <w:vAlign w:val="center"/>
            <w:hideMark/>
          </w:tcPr>
          <w:p w14:paraId="2DE1AD5E" w14:textId="77777777" w:rsidR="00BF2EF4" w:rsidRPr="008B0924" w:rsidRDefault="00BF2EF4" w:rsidP="00C74D46">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1100+</w:t>
            </w:r>
          </w:p>
        </w:tc>
      </w:tr>
      <w:tr w:rsidR="00542A08" w:rsidRPr="008B0924" w14:paraId="7468BF4B" w14:textId="77777777" w:rsidTr="00C74D46">
        <w:trPr>
          <w:trHeight w:val="1238"/>
        </w:trPr>
        <w:tc>
          <w:tcPr>
            <w:tcW w:w="1179" w:type="dxa"/>
            <w:shd w:val="clear" w:color="auto" w:fill="auto"/>
            <w:vAlign w:val="center"/>
          </w:tcPr>
          <w:p w14:paraId="408BA969" w14:textId="7A5E728D" w:rsidR="00542A08" w:rsidRPr="008B0924" w:rsidRDefault="00542A08" w:rsidP="00542A08">
            <w:pPr>
              <w:adjustRightInd w:val="0"/>
              <w:snapToGrid w:val="0"/>
              <w:spacing w:after="0" w:line="240" w:lineRule="auto"/>
              <w:rPr>
                <w:rFonts w:ascii="微软雅黑" w:eastAsia="微软雅黑" w:hAnsi="微软雅黑" w:cs="微软雅黑"/>
                <w:color w:val="000000"/>
              </w:rPr>
            </w:pPr>
            <w:r w:rsidRPr="008B0924">
              <w:rPr>
                <w:rFonts w:ascii="微软雅黑" w:eastAsia="微软雅黑" w:hAnsi="微软雅黑" w:cs="微软雅黑"/>
                <w:color w:val="000000"/>
              </w:rPr>
              <w:t>医学</w:t>
            </w:r>
          </w:p>
        </w:tc>
        <w:tc>
          <w:tcPr>
            <w:tcW w:w="1179" w:type="dxa"/>
            <w:shd w:val="clear" w:color="auto" w:fill="auto"/>
            <w:vAlign w:val="center"/>
          </w:tcPr>
          <w:p w14:paraId="48EEFFB4" w14:textId="5078EEBD" w:rsidR="00542A08" w:rsidRPr="008B0924" w:rsidRDefault="000248C2" w:rsidP="00542A08">
            <w:pPr>
              <w:adjustRightInd w:val="0"/>
              <w:snapToGrid w:val="0"/>
              <w:spacing w:after="0" w:line="240" w:lineRule="auto"/>
              <w:rPr>
                <w:rFonts w:ascii="微软雅黑" w:eastAsia="微软雅黑" w:hAnsi="微软雅黑" w:cs="微软雅黑"/>
                <w:color w:val="000000"/>
              </w:rPr>
            </w:pPr>
            <w:r>
              <w:rPr>
                <w:rFonts w:ascii="微软雅黑" w:eastAsia="微软雅黑" w:hAnsi="微软雅黑" w:cs="微软雅黑" w:hint="eastAsia"/>
                <w:color w:val="000000"/>
              </w:rPr>
              <w:t>临床医学</w:t>
            </w:r>
          </w:p>
        </w:tc>
        <w:tc>
          <w:tcPr>
            <w:tcW w:w="7623" w:type="dxa"/>
            <w:shd w:val="clear" w:color="auto" w:fill="auto"/>
            <w:vAlign w:val="center"/>
          </w:tcPr>
          <w:p w14:paraId="13D47F13" w14:textId="78716BC6" w:rsidR="00542A08" w:rsidRPr="008B0924" w:rsidRDefault="00E25EBC" w:rsidP="00542A08">
            <w:pPr>
              <w:adjustRightInd w:val="0"/>
              <w:snapToGrid w:val="0"/>
              <w:spacing w:after="0" w:line="240" w:lineRule="auto"/>
              <w:rPr>
                <w:rFonts w:ascii="Calibri" w:eastAsia="Times New Roman" w:hAnsi="Calibri" w:cs="Calibri"/>
                <w:color w:val="000000"/>
              </w:rPr>
            </w:pPr>
            <w:r w:rsidRPr="00672FDF">
              <w:rPr>
                <w:rFonts w:ascii="微软雅黑" w:eastAsia="微软雅黑" w:hAnsi="微软雅黑" w:cs="微软雅黑" w:hint="eastAsia"/>
                <w:color w:val="000000"/>
              </w:rPr>
              <w:t>包括临床医学、专科医学</w:t>
            </w:r>
            <w:r w:rsidR="004C717B" w:rsidRPr="00672FDF">
              <w:rPr>
                <w:rFonts w:ascii="微软雅黑" w:eastAsia="微软雅黑" w:hAnsi="微软雅黑" w:cs="微软雅黑" w:hint="eastAsia"/>
                <w:color w:val="000000"/>
              </w:rPr>
              <w:t>、外科学、牙科学、护理学及</w:t>
            </w:r>
            <w:r w:rsidR="00EA552D" w:rsidRPr="00672FDF">
              <w:rPr>
                <w:rFonts w:ascii="微软雅黑" w:eastAsia="微软雅黑" w:hAnsi="微软雅黑" w:cs="微软雅黑" w:hint="eastAsia"/>
                <w:color w:val="000000"/>
              </w:rPr>
              <w:t>医疗卫生</w:t>
            </w:r>
            <w:r w:rsidR="00C95AB5" w:rsidRPr="00672FDF">
              <w:rPr>
                <w:rFonts w:ascii="微软雅黑" w:eastAsia="微软雅黑" w:hAnsi="微软雅黑" w:cs="微软雅黑" w:hint="eastAsia"/>
                <w:color w:val="000000"/>
              </w:rPr>
              <w:t>的各个方向从眼科、心脏、内分泌、妇科、儿科到职业病</w:t>
            </w:r>
            <w:r w:rsidR="00672FDF" w:rsidRPr="00672FDF">
              <w:rPr>
                <w:rFonts w:ascii="微软雅黑" w:eastAsia="微软雅黑" w:hAnsi="微软雅黑" w:cs="微软雅黑" w:hint="eastAsia"/>
                <w:color w:val="000000"/>
              </w:rPr>
              <w:t>等方方面面</w:t>
            </w:r>
            <w:r w:rsidR="000C5C23">
              <w:rPr>
                <w:rFonts w:ascii="微软雅黑" w:eastAsia="微软雅黑" w:hAnsi="微软雅黑" w:cs="微软雅黑" w:hint="eastAsia"/>
                <w:color w:val="000000"/>
              </w:rPr>
              <w:t>。支持从医学院学生的学习到临床医生的实际操作。</w:t>
            </w:r>
          </w:p>
        </w:tc>
        <w:tc>
          <w:tcPr>
            <w:tcW w:w="909" w:type="dxa"/>
            <w:shd w:val="clear" w:color="auto" w:fill="auto"/>
            <w:vAlign w:val="center"/>
          </w:tcPr>
          <w:p w14:paraId="5A1BB7D8" w14:textId="786B776A" w:rsidR="00542A08" w:rsidRPr="008B0924" w:rsidRDefault="00053B98" w:rsidP="00542A08">
            <w:pPr>
              <w:adjustRightInd w:val="0"/>
              <w:snapToGrid w:val="0"/>
              <w:spacing w:after="0" w:line="240" w:lineRule="auto"/>
              <w:rPr>
                <w:rFonts w:ascii="Calibri" w:eastAsia="Times New Roman" w:hAnsi="Calibri" w:cs="Calibri"/>
                <w:color w:val="000000"/>
              </w:rPr>
            </w:pPr>
            <w:r>
              <w:rPr>
                <w:rFonts w:ascii="Calibri" w:eastAsia="Times New Roman" w:hAnsi="Calibri" w:cs="Calibri"/>
                <w:color w:val="000000"/>
              </w:rPr>
              <w:t>1</w:t>
            </w:r>
            <w:r w:rsidR="00713963">
              <w:rPr>
                <w:rFonts w:ascii="Calibri" w:eastAsia="Times New Roman" w:hAnsi="Calibri" w:cs="Calibri"/>
                <w:color w:val="000000"/>
              </w:rPr>
              <w:t>3</w:t>
            </w:r>
            <w:r>
              <w:rPr>
                <w:rFonts w:ascii="Calibri" w:eastAsia="Times New Roman" w:hAnsi="Calibri" w:cs="Calibri"/>
                <w:color w:val="000000"/>
              </w:rPr>
              <w:t>00</w:t>
            </w:r>
            <w:r>
              <w:rPr>
                <w:rFonts w:asciiTheme="minorEastAsia" w:hAnsiTheme="minorEastAsia" w:cs="Calibri" w:hint="eastAsia"/>
                <w:color w:val="000000"/>
              </w:rPr>
              <w:t>+</w:t>
            </w:r>
          </w:p>
        </w:tc>
      </w:tr>
      <w:tr w:rsidR="00542A08" w:rsidRPr="008B0924" w14:paraId="5ECA70C2" w14:textId="77777777" w:rsidTr="00C74D46">
        <w:trPr>
          <w:trHeight w:val="990"/>
        </w:trPr>
        <w:tc>
          <w:tcPr>
            <w:tcW w:w="1179" w:type="dxa"/>
            <w:shd w:val="clear" w:color="auto" w:fill="auto"/>
            <w:vAlign w:val="center"/>
            <w:hideMark/>
          </w:tcPr>
          <w:p w14:paraId="2782390D"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人文社科</w:t>
            </w:r>
          </w:p>
        </w:tc>
        <w:tc>
          <w:tcPr>
            <w:tcW w:w="1179" w:type="dxa"/>
            <w:shd w:val="clear" w:color="auto" w:fill="auto"/>
            <w:vAlign w:val="center"/>
            <w:hideMark/>
          </w:tcPr>
          <w:p w14:paraId="49D37AAB"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社会科学</w:t>
            </w:r>
          </w:p>
        </w:tc>
        <w:tc>
          <w:tcPr>
            <w:tcW w:w="7623" w:type="dxa"/>
            <w:shd w:val="clear" w:color="auto" w:fill="auto"/>
            <w:vAlign w:val="center"/>
            <w:hideMark/>
          </w:tcPr>
          <w:p w14:paraId="5115CEE2"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社会科学是集科学，技术与社会的跨学科内容，关键主题包括交通，智慧城市和可持续性，以及以数据为驱动的技术发展，例如人工智能，它在科学对社会的影响中起着越来越重要的作用。</w:t>
            </w:r>
          </w:p>
        </w:tc>
        <w:tc>
          <w:tcPr>
            <w:tcW w:w="909" w:type="dxa"/>
            <w:shd w:val="clear" w:color="auto" w:fill="auto"/>
            <w:vAlign w:val="center"/>
            <w:hideMark/>
          </w:tcPr>
          <w:p w14:paraId="4CAE88FF"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1800+</w:t>
            </w:r>
          </w:p>
        </w:tc>
      </w:tr>
      <w:tr w:rsidR="00542A08" w:rsidRPr="008B0924" w14:paraId="0B0E2A97" w14:textId="77777777" w:rsidTr="00C74D46">
        <w:trPr>
          <w:trHeight w:val="990"/>
        </w:trPr>
        <w:tc>
          <w:tcPr>
            <w:tcW w:w="1179" w:type="dxa"/>
            <w:shd w:val="clear" w:color="auto" w:fill="auto"/>
            <w:vAlign w:val="center"/>
            <w:hideMark/>
          </w:tcPr>
          <w:p w14:paraId="17549F51"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人文社科</w:t>
            </w:r>
          </w:p>
        </w:tc>
        <w:tc>
          <w:tcPr>
            <w:tcW w:w="1179" w:type="dxa"/>
            <w:shd w:val="clear" w:color="auto" w:fill="auto"/>
            <w:vAlign w:val="center"/>
            <w:hideMark/>
          </w:tcPr>
          <w:p w14:paraId="24709BED"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金融学</w:t>
            </w:r>
          </w:p>
        </w:tc>
        <w:tc>
          <w:tcPr>
            <w:tcW w:w="7623" w:type="dxa"/>
            <w:shd w:val="clear" w:color="auto" w:fill="auto"/>
            <w:vAlign w:val="center"/>
            <w:hideMark/>
          </w:tcPr>
          <w:p w14:paraId="0F1AA11A"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该学科除了提供金融学领域的基础理论知识外，着重于金融中具有根本重要性的领域，重点关注在其他领域的应用研究，比如能源、健康、教育等。图书的作者都是来自全球金融</w:t>
            </w:r>
            <w:r w:rsidRPr="008B0924">
              <w:rPr>
                <w:rFonts w:ascii="Calibri" w:eastAsia="Times New Roman" w:hAnsi="Calibri" w:cs="Calibri"/>
                <w:color w:val="000000"/>
              </w:rPr>
              <w:t>/</w:t>
            </w:r>
            <w:r w:rsidRPr="008B0924">
              <w:rPr>
                <w:rFonts w:ascii="微软雅黑" w:eastAsia="微软雅黑" w:hAnsi="微软雅黑" w:cs="微软雅黑"/>
                <w:color w:val="000000"/>
              </w:rPr>
              <w:t>经济学方面的思想领袖。</w:t>
            </w:r>
          </w:p>
        </w:tc>
        <w:tc>
          <w:tcPr>
            <w:tcW w:w="909" w:type="dxa"/>
            <w:shd w:val="clear" w:color="auto" w:fill="auto"/>
            <w:vAlign w:val="center"/>
            <w:hideMark/>
          </w:tcPr>
          <w:p w14:paraId="0BA3194C"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800+</w:t>
            </w:r>
          </w:p>
        </w:tc>
      </w:tr>
      <w:tr w:rsidR="00542A08" w:rsidRPr="008B0924" w14:paraId="66D1B33E" w14:textId="77777777" w:rsidTr="00C74D46">
        <w:trPr>
          <w:trHeight w:val="1238"/>
        </w:trPr>
        <w:tc>
          <w:tcPr>
            <w:tcW w:w="1179" w:type="dxa"/>
            <w:shd w:val="clear" w:color="auto" w:fill="auto"/>
            <w:vAlign w:val="center"/>
            <w:hideMark/>
          </w:tcPr>
          <w:p w14:paraId="39849C40"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人文社科</w:t>
            </w:r>
          </w:p>
        </w:tc>
        <w:tc>
          <w:tcPr>
            <w:tcW w:w="1179" w:type="dxa"/>
            <w:shd w:val="clear" w:color="auto" w:fill="auto"/>
            <w:vAlign w:val="center"/>
            <w:hideMark/>
          </w:tcPr>
          <w:p w14:paraId="2F6B2256"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刑事司法</w:t>
            </w:r>
          </w:p>
        </w:tc>
        <w:tc>
          <w:tcPr>
            <w:tcW w:w="7623" w:type="dxa"/>
            <w:shd w:val="clear" w:color="auto" w:fill="auto"/>
            <w:vAlign w:val="center"/>
            <w:hideMark/>
          </w:tcPr>
          <w:p w14:paraId="3C1103FA"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微软雅黑" w:eastAsia="微软雅黑" w:hAnsi="微软雅黑" w:cs="微软雅黑"/>
                <w:color w:val="000000"/>
              </w:rPr>
              <w:t>提供个应用领域的法律科学内容，法医学，以及安全等内容。比如，用于物理，化学，生物学，计算机科学和工程等领域的法律科学应用，可帮助调查人员了解血液飞溅的方式（物理），了解药物或痕量物质（化学）等证据的成分</w:t>
            </w:r>
            <w:r w:rsidRPr="008B0924">
              <w:rPr>
                <w:rFonts w:ascii="Calibri" w:eastAsia="Times New Roman" w:hAnsi="Calibri" w:cs="Calibri"/>
                <w:color w:val="000000"/>
              </w:rPr>
              <w:t>/</w:t>
            </w:r>
            <w:r w:rsidRPr="008B0924">
              <w:rPr>
                <w:rFonts w:ascii="微软雅黑" w:eastAsia="微软雅黑" w:hAnsi="微软雅黑" w:cs="微软雅黑"/>
                <w:color w:val="000000"/>
              </w:rPr>
              <w:t>来源或确定未知嫌疑犯的身份（生物学）。</w:t>
            </w:r>
          </w:p>
        </w:tc>
        <w:tc>
          <w:tcPr>
            <w:tcW w:w="909" w:type="dxa"/>
            <w:shd w:val="clear" w:color="auto" w:fill="auto"/>
            <w:vAlign w:val="center"/>
            <w:hideMark/>
          </w:tcPr>
          <w:p w14:paraId="73D25347" w14:textId="77777777" w:rsidR="00542A08" w:rsidRPr="008B0924" w:rsidRDefault="00542A08" w:rsidP="00542A08">
            <w:pPr>
              <w:adjustRightInd w:val="0"/>
              <w:snapToGrid w:val="0"/>
              <w:spacing w:after="0" w:line="240" w:lineRule="auto"/>
              <w:rPr>
                <w:rFonts w:ascii="Calibri" w:eastAsia="Times New Roman" w:hAnsi="Calibri" w:cs="Calibri"/>
                <w:color w:val="000000"/>
              </w:rPr>
            </w:pPr>
            <w:r w:rsidRPr="008B0924">
              <w:rPr>
                <w:rFonts w:ascii="Calibri" w:eastAsia="Times New Roman" w:hAnsi="Calibri" w:cs="Calibri"/>
                <w:color w:val="000000"/>
              </w:rPr>
              <w:t>290+</w:t>
            </w:r>
          </w:p>
        </w:tc>
      </w:tr>
    </w:tbl>
    <w:p w14:paraId="15D63375" w14:textId="77777777" w:rsidR="00BF2EF4" w:rsidRPr="00E57738" w:rsidRDefault="00BF2EF4" w:rsidP="00017D78">
      <w:pPr>
        <w:autoSpaceDE w:val="0"/>
        <w:autoSpaceDN w:val="0"/>
        <w:adjustRightInd w:val="0"/>
        <w:spacing w:after="0" w:line="240" w:lineRule="auto"/>
        <w:rPr>
          <w:rFonts w:ascii="微软雅黑" w:eastAsia="微软雅黑" w:hAnsi="微软雅黑" w:cs="NexusSansOffcPro"/>
          <w:sz w:val="24"/>
          <w:szCs w:val="24"/>
        </w:rPr>
      </w:pPr>
      <w:r w:rsidRPr="006E5F27">
        <w:rPr>
          <w:rFonts w:ascii="微软雅黑" w:eastAsia="微软雅黑" w:hAnsi="微软雅黑" w:cs="NexusSansOffcPro" w:hint="eastAsia"/>
          <w:noProof/>
          <w:sz w:val="24"/>
          <w:szCs w:val="24"/>
        </w:rPr>
        <mc:AlternateContent>
          <mc:Choice Requires="wps">
            <w:drawing>
              <wp:anchor distT="0" distB="0" distL="114300" distR="114300" simplePos="0" relativeHeight="251687936" behindDoc="0" locked="0" layoutInCell="1" allowOverlap="1" wp14:anchorId="5580D27D" wp14:editId="468EDFC0">
                <wp:simplePos x="0" y="0"/>
                <wp:positionH relativeFrom="margin">
                  <wp:posOffset>1543050</wp:posOffset>
                </wp:positionH>
                <wp:positionV relativeFrom="paragraph">
                  <wp:posOffset>84455</wp:posOffset>
                </wp:positionV>
                <wp:extent cx="2381250" cy="409575"/>
                <wp:effectExtent l="57150" t="38100" r="57150" b="85725"/>
                <wp:wrapTopAndBottom/>
                <wp:docPr id="19" name="Rectangle 19"/>
                <wp:cNvGraphicFramePr/>
                <a:graphic xmlns:a="http://schemas.openxmlformats.org/drawingml/2006/main">
                  <a:graphicData uri="http://schemas.microsoft.com/office/word/2010/wordprocessingShape">
                    <wps:wsp>
                      <wps:cNvSpPr/>
                      <wps:spPr>
                        <a:xfrm>
                          <a:off x="0" y="0"/>
                          <a:ext cx="2381250" cy="409575"/>
                        </a:xfrm>
                        <a:prstGeom prst="rect">
                          <a:avLst/>
                        </a:prstGeom>
                        <a:ln/>
                      </wps:spPr>
                      <wps:style>
                        <a:lnRef idx="0">
                          <a:schemeClr val="accent2"/>
                        </a:lnRef>
                        <a:fillRef idx="3">
                          <a:schemeClr val="accent2"/>
                        </a:fillRef>
                        <a:effectRef idx="3">
                          <a:schemeClr val="accent2"/>
                        </a:effectRef>
                        <a:fontRef idx="minor">
                          <a:schemeClr val="lt1"/>
                        </a:fontRef>
                      </wps:style>
                      <wps:txbx>
                        <w:txbxContent>
                          <w:p w14:paraId="3E3F75AA" w14:textId="77777777" w:rsidR="00BF2EF4" w:rsidRPr="006C2FA1" w:rsidRDefault="00BF2EF4" w:rsidP="00BF2EF4">
                            <w:pPr>
                              <w:jc w:val="center"/>
                              <w:rPr>
                                <w:rFonts w:ascii="微软雅黑" w:eastAsia="微软雅黑" w:hAnsi="微软雅黑"/>
                                <w:b/>
                                <w:bCs/>
                                <w:sz w:val="28"/>
                                <w:szCs w:val="28"/>
                              </w:rPr>
                            </w:pPr>
                            <w:r w:rsidRPr="006C2FA1">
                              <w:rPr>
                                <w:rFonts w:ascii="微软雅黑" w:eastAsia="微软雅黑" w:hAnsi="微软雅黑" w:hint="eastAsia"/>
                                <w:b/>
                                <w:bCs/>
                                <w:sz w:val="28"/>
                                <w:szCs w:val="28"/>
                              </w:rPr>
                              <w:t>访问指南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0D27D" id="Rectangle 19" o:spid="_x0000_s1033" style="position:absolute;margin-left:121.5pt;margin-top:6.65pt;width:187.5pt;height:32.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" fillcolor="#ee853d [3029]" stroked="f">
                <v:fill color2="#ec7a2d [3173]" rotate="t" colors="0 #f18c55;.5 #f67b28;1 #e56b17" focus="100%" type="gradient">
                  <o:fill v:ext="view" type="gradientUnscaled"/>
                </v:fill>
                <v:shadow on="t" color="black" opacity="41287f" offset="0,1.5pt"/>
                <v:textbox>
                  <w:txbxContent>
                    <w:p w14:paraId="3E3F75AA" w14:textId="77777777" w:rsidR="00BF2EF4" w:rsidRPr="006C2FA1" w:rsidRDefault="00BF2EF4" w:rsidP="00BF2EF4">
                      <w:pPr>
                        <w:jc w:val="center"/>
                        <w:rPr>
                          <w:rFonts w:ascii="微软雅黑" w:eastAsia="微软雅黑" w:hAnsi="微软雅黑"/>
                          <w:b/>
                          <w:bCs/>
                          <w:sz w:val="28"/>
                          <w:szCs w:val="28"/>
                        </w:rPr>
                      </w:pPr>
                      <w:r w:rsidRPr="006C2FA1">
                        <w:rPr>
                          <w:rFonts w:ascii="微软雅黑" w:eastAsia="微软雅黑" w:hAnsi="微软雅黑" w:hint="eastAsia"/>
                          <w:b/>
                          <w:bCs/>
                          <w:sz w:val="28"/>
                          <w:szCs w:val="28"/>
                        </w:rPr>
                        <w:t>访问指南</w:t>
                      </w:r>
                    </w:p>
                  </w:txbxContent>
                </v:textbox>
                <w10:wrap type="topAndBottom" anchorx="margin"/>
              </v:rect>
            </w:pict>
          </mc:Fallback>
        </mc:AlternateContent>
      </w:r>
    </w:p>
    <w:tbl>
      <w:tblPr>
        <w:tblStyle w:val="TableGrid"/>
        <w:tblW w:w="0" w:type="auto"/>
        <w:tblLook w:val="04A0" w:firstRow="1" w:lastRow="0" w:firstColumn="1" w:lastColumn="0" w:noHBand="0" w:noVBand="1"/>
      </w:tblPr>
      <w:tblGrid>
        <w:gridCol w:w="3145"/>
        <w:gridCol w:w="5151"/>
      </w:tblGrid>
      <w:tr w:rsidR="00F53283" w14:paraId="5F23DF57" w14:textId="77777777" w:rsidTr="001348E8">
        <w:tc>
          <w:tcPr>
            <w:tcW w:w="3145" w:type="dxa"/>
          </w:tcPr>
          <w:p w14:paraId="080AB8CA" w14:textId="77777777" w:rsidR="00F53283" w:rsidRDefault="00F53283" w:rsidP="001348E8">
            <w:r w:rsidRPr="007B5FED">
              <w:rPr>
                <w:rFonts w:ascii="宋体" w:eastAsia="宋体" w:hAnsi="宋体" w:cs="宋体"/>
                <w:sz w:val="24"/>
                <w:szCs w:val="24"/>
              </w:rPr>
              <w:t>数据库</w:t>
            </w:r>
            <w:r>
              <w:rPr>
                <w:rFonts w:ascii="宋体" w:eastAsia="宋体" w:hAnsi="宋体" w:cs="宋体" w:hint="eastAsia"/>
                <w:sz w:val="24"/>
                <w:szCs w:val="24"/>
              </w:rPr>
              <w:t>中文</w:t>
            </w:r>
            <w:r w:rsidRPr="007B5FED">
              <w:rPr>
                <w:rFonts w:ascii="宋体" w:eastAsia="宋体" w:hAnsi="宋体" w:cs="宋体"/>
                <w:sz w:val="24"/>
                <w:szCs w:val="24"/>
              </w:rPr>
              <w:t>名称</w:t>
            </w:r>
          </w:p>
        </w:tc>
        <w:tc>
          <w:tcPr>
            <w:tcW w:w="5151" w:type="dxa"/>
          </w:tcPr>
          <w:p w14:paraId="1E5FE012" w14:textId="77777777" w:rsidR="00F53283" w:rsidRPr="002335CB" w:rsidRDefault="00F53283" w:rsidP="001348E8">
            <w:r w:rsidRPr="0038279C">
              <w:rPr>
                <w:rFonts w:hint="eastAsia"/>
              </w:rPr>
              <w:t xml:space="preserve">ScienceDirect </w:t>
            </w:r>
            <w:r w:rsidRPr="0038279C">
              <w:rPr>
                <w:rFonts w:hint="eastAsia"/>
              </w:rPr>
              <w:t>电子图书数据库</w:t>
            </w:r>
          </w:p>
        </w:tc>
      </w:tr>
      <w:tr w:rsidR="00F53283" w14:paraId="1BFAA30C" w14:textId="77777777" w:rsidTr="001348E8">
        <w:tc>
          <w:tcPr>
            <w:tcW w:w="3145" w:type="dxa"/>
          </w:tcPr>
          <w:p w14:paraId="1413CE8F" w14:textId="77777777" w:rsidR="00F53283" w:rsidRDefault="00F53283" w:rsidP="001348E8">
            <w:pPr>
              <w:rPr>
                <w:rFonts w:ascii="宋体" w:eastAsia="宋体" w:hAnsi="宋体" w:cs="宋体"/>
                <w:sz w:val="24"/>
                <w:szCs w:val="24"/>
              </w:rPr>
            </w:pPr>
            <w:r w:rsidRPr="007B5FED">
              <w:rPr>
                <w:rFonts w:ascii="宋体" w:eastAsia="宋体" w:hAnsi="宋体" w:cs="宋体"/>
                <w:sz w:val="24"/>
                <w:szCs w:val="24"/>
              </w:rPr>
              <w:t>数据库</w:t>
            </w:r>
            <w:r>
              <w:rPr>
                <w:rFonts w:ascii="宋体" w:eastAsia="宋体" w:hAnsi="宋体" w:cs="宋体" w:hint="eastAsia"/>
                <w:sz w:val="24"/>
                <w:szCs w:val="24"/>
              </w:rPr>
              <w:t>网址</w:t>
            </w:r>
          </w:p>
        </w:tc>
        <w:tc>
          <w:tcPr>
            <w:tcW w:w="5151" w:type="dxa"/>
          </w:tcPr>
          <w:p w14:paraId="56E7F6F9" w14:textId="77777777" w:rsidR="00F53283" w:rsidRPr="004515C2" w:rsidRDefault="002D705E" w:rsidP="001348E8">
            <w:hyperlink r:id="rId20" w:history="1">
              <w:r w:rsidR="00F53283">
                <w:rPr>
                  <w:rStyle w:val="Hyperlink"/>
                </w:rPr>
                <w:t>https://www.sciencedirect.com/</w:t>
              </w:r>
            </w:hyperlink>
          </w:p>
        </w:tc>
      </w:tr>
      <w:tr w:rsidR="00F53283" w14:paraId="1C9D1DA0" w14:textId="77777777" w:rsidTr="001348E8">
        <w:tc>
          <w:tcPr>
            <w:tcW w:w="3145" w:type="dxa"/>
          </w:tcPr>
          <w:p w14:paraId="794DCF1C" w14:textId="77777777" w:rsidR="00F53283" w:rsidRPr="007B5FED" w:rsidRDefault="00F53283" w:rsidP="001348E8">
            <w:pPr>
              <w:rPr>
                <w:rFonts w:ascii="宋体" w:eastAsia="宋体" w:hAnsi="宋体" w:cs="宋体"/>
                <w:sz w:val="24"/>
                <w:szCs w:val="24"/>
              </w:rPr>
            </w:pPr>
            <w:r>
              <w:rPr>
                <w:rFonts w:ascii="宋体" w:eastAsia="宋体" w:hAnsi="宋体" w:cs="宋体" w:hint="eastAsia"/>
                <w:sz w:val="24"/>
                <w:szCs w:val="24"/>
              </w:rPr>
              <w:t>涉及学科</w:t>
            </w:r>
          </w:p>
        </w:tc>
        <w:tc>
          <w:tcPr>
            <w:tcW w:w="5151" w:type="dxa"/>
          </w:tcPr>
          <w:p w14:paraId="390F5783" w14:textId="5D921972" w:rsidR="00F53283" w:rsidRPr="004515C2" w:rsidRDefault="00F53283" w:rsidP="001348E8">
            <w:r>
              <w:rPr>
                <w:rFonts w:hint="eastAsia"/>
              </w:rPr>
              <w:t>全学科（</w:t>
            </w:r>
            <w:r w:rsidRPr="00F53283">
              <w:rPr>
                <w:rFonts w:hint="eastAsia"/>
              </w:rPr>
              <w:t>理工学、医学、生命科学和社会人文科学</w:t>
            </w:r>
            <w:r>
              <w:rPr>
                <w:rFonts w:hint="eastAsia"/>
              </w:rPr>
              <w:t>）</w:t>
            </w:r>
          </w:p>
        </w:tc>
      </w:tr>
      <w:tr w:rsidR="00F53283" w14:paraId="000CAF38" w14:textId="77777777" w:rsidTr="001348E8">
        <w:tc>
          <w:tcPr>
            <w:tcW w:w="3145" w:type="dxa"/>
          </w:tcPr>
          <w:p w14:paraId="52863F37" w14:textId="77777777" w:rsidR="00F53283" w:rsidRPr="007B5FED" w:rsidRDefault="00F53283" w:rsidP="001348E8">
            <w:pPr>
              <w:rPr>
                <w:rFonts w:ascii="宋体" w:eastAsia="宋体" w:hAnsi="宋体" w:cs="宋体"/>
                <w:sz w:val="24"/>
                <w:szCs w:val="24"/>
              </w:rPr>
            </w:pPr>
            <w:r w:rsidRPr="007B5FED">
              <w:rPr>
                <w:rFonts w:ascii="宋体" w:eastAsia="宋体" w:hAnsi="宋体" w:cs="宋体"/>
                <w:sz w:val="24"/>
                <w:szCs w:val="24"/>
              </w:rPr>
              <w:t>数据库类型（全文or摘要or题录）</w:t>
            </w:r>
          </w:p>
        </w:tc>
        <w:tc>
          <w:tcPr>
            <w:tcW w:w="5151" w:type="dxa"/>
          </w:tcPr>
          <w:p w14:paraId="033414C0" w14:textId="77777777" w:rsidR="00F53283" w:rsidRPr="004515C2" w:rsidRDefault="00F53283" w:rsidP="001348E8">
            <w:r>
              <w:rPr>
                <w:rFonts w:hint="eastAsia"/>
              </w:rPr>
              <w:t>全文</w:t>
            </w:r>
          </w:p>
        </w:tc>
      </w:tr>
      <w:tr w:rsidR="00F53283" w14:paraId="13C3E8C9" w14:textId="77777777" w:rsidTr="001348E8">
        <w:tc>
          <w:tcPr>
            <w:tcW w:w="3145" w:type="dxa"/>
          </w:tcPr>
          <w:p w14:paraId="01AAA3EF" w14:textId="77777777" w:rsidR="00F53283" w:rsidRPr="007B5FED" w:rsidRDefault="00F53283" w:rsidP="001348E8">
            <w:pPr>
              <w:rPr>
                <w:rFonts w:ascii="宋体" w:eastAsia="宋体" w:hAnsi="宋体" w:cs="宋体"/>
                <w:sz w:val="24"/>
                <w:szCs w:val="24"/>
              </w:rPr>
            </w:pPr>
            <w:r w:rsidRPr="007B5FED">
              <w:rPr>
                <w:rFonts w:ascii="宋体" w:eastAsia="宋体" w:hAnsi="宋体" w:cs="宋体"/>
                <w:sz w:val="24"/>
                <w:szCs w:val="24"/>
              </w:rPr>
              <w:t>文献类型（期刊or图书or</w:t>
            </w:r>
            <w:r>
              <w:rPr>
                <w:rFonts w:ascii="宋体" w:eastAsia="宋体" w:hAnsi="宋体" w:cs="宋体" w:hint="eastAsia"/>
                <w:sz w:val="24"/>
                <w:szCs w:val="24"/>
              </w:rPr>
              <w:t>学位论文or</w:t>
            </w:r>
            <w:r w:rsidRPr="007B5FED">
              <w:rPr>
                <w:rFonts w:ascii="宋体" w:eastAsia="宋体" w:hAnsi="宋体" w:cs="宋体"/>
                <w:sz w:val="24"/>
                <w:szCs w:val="24"/>
              </w:rPr>
              <w:t>多媒体</w:t>
            </w:r>
            <w:r>
              <w:rPr>
                <w:rFonts w:ascii="宋体" w:eastAsia="宋体" w:hAnsi="宋体" w:cs="宋体" w:hint="eastAsia"/>
                <w:sz w:val="24"/>
                <w:szCs w:val="24"/>
              </w:rPr>
              <w:t>or其他</w:t>
            </w:r>
            <w:r w:rsidRPr="007B5FED">
              <w:rPr>
                <w:rFonts w:ascii="宋体" w:eastAsia="宋体" w:hAnsi="宋体" w:cs="宋体"/>
                <w:sz w:val="24"/>
                <w:szCs w:val="24"/>
              </w:rPr>
              <w:t>）</w:t>
            </w:r>
          </w:p>
        </w:tc>
        <w:tc>
          <w:tcPr>
            <w:tcW w:w="5151" w:type="dxa"/>
          </w:tcPr>
          <w:p w14:paraId="0A5FAEDC" w14:textId="77777777" w:rsidR="00F53283" w:rsidRPr="00824F5E" w:rsidRDefault="00F53283" w:rsidP="001348E8">
            <w:r>
              <w:rPr>
                <w:rFonts w:hint="eastAsia"/>
              </w:rPr>
              <w:t>图书</w:t>
            </w:r>
          </w:p>
        </w:tc>
      </w:tr>
      <w:tr w:rsidR="00F53283" w14:paraId="08FA6942" w14:textId="77777777" w:rsidTr="001348E8">
        <w:tc>
          <w:tcPr>
            <w:tcW w:w="3145" w:type="dxa"/>
          </w:tcPr>
          <w:p w14:paraId="4175AC47" w14:textId="77777777" w:rsidR="00F53283" w:rsidRPr="007B5FED" w:rsidRDefault="00F53283" w:rsidP="001348E8">
            <w:pPr>
              <w:rPr>
                <w:rFonts w:ascii="宋体" w:eastAsia="宋体" w:hAnsi="宋体" w:cs="宋体"/>
                <w:sz w:val="24"/>
                <w:szCs w:val="24"/>
              </w:rPr>
            </w:pPr>
            <w:r w:rsidRPr="00ED3021">
              <w:rPr>
                <w:rFonts w:ascii="宋体" w:eastAsia="宋体" w:hAnsi="宋体" w:cs="宋体" w:hint="eastAsia"/>
                <w:sz w:val="24"/>
                <w:szCs w:val="24"/>
              </w:rPr>
              <w:t>是否有并</w:t>
            </w:r>
            <w:r>
              <w:rPr>
                <w:rFonts w:ascii="宋体" w:eastAsia="宋体" w:hAnsi="宋体" w:cs="宋体" w:hint="eastAsia"/>
                <w:sz w:val="24"/>
                <w:szCs w:val="24"/>
              </w:rPr>
              <w:t>用户（并发数多少）</w:t>
            </w:r>
          </w:p>
        </w:tc>
        <w:tc>
          <w:tcPr>
            <w:tcW w:w="5151" w:type="dxa"/>
          </w:tcPr>
          <w:p w14:paraId="5A5EFC1A" w14:textId="77777777" w:rsidR="00F53283" w:rsidRPr="004515C2" w:rsidRDefault="00F53283" w:rsidP="001348E8">
            <w:r>
              <w:rPr>
                <w:rFonts w:hint="eastAsia"/>
              </w:rPr>
              <w:t>无</w:t>
            </w:r>
          </w:p>
        </w:tc>
      </w:tr>
      <w:tr w:rsidR="00F53283" w14:paraId="2E4A0D22" w14:textId="77777777" w:rsidTr="001348E8">
        <w:tc>
          <w:tcPr>
            <w:tcW w:w="3145" w:type="dxa"/>
          </w:tcPr>
          <w:p w14:paraId="09A4CD77" w14:textId="77777777" w:rsidR="00F53283" w:rsidRPr="007B5FED" w:rsidRDefault="00F53283" w:rsidP="001348E8">
            <w:pPr>
              <w:rPr>
                <w:rFonts w:ascii="宋体" w:eastAsia="宋体" w:hAnsi="宋体" w:cs="宋体"/>
                <w:sz w:val="24"/>
                <w:szCs w:val="24"/>
              </w:rPr>
            </w:pPr>
            <w:r>
              <w:rPr>
                <w:rFonts w:ascii="宋体" w:eastAsia="宋体" w:hAnsi="宋体" w:cs="宋体" w:hint="eastAsia"/>
                <w:sz w:val="24"/>
                <w:szCs w:val="24"/>
              </w:rPr>
              <w:lastRenderedPageBreak/>
              <w:t>对浏览器是否有特殊要求</w:t>
            </w:r>
          </w:p>
        </w:tc>
        <w:tc>
          <w:tcPr>
            <w:tcW w:w="5151" w:type="dxa"/>
          </w:tcPr>
          <w:p w14:paraId="126B0275" w14:textId="77777777" w:rsidR="00F53283" w:rsidRPr="004515C2" w:rsidRDefault="00F53283" w:rsidP="001348E8">
            <w:r>
              <w:rPr>
                <w:rFonts w:hint="eastAsia"/>
              </w:rPr>
              <w:t>无</w:t>
            </w:r>
          </w:p>
        </w:tc>
      </w:tr>
      <w:tr w:rsidR="00F53283" w14:paraId="02C8F029" w14:textId="77777777" w:rsidTr="001348E8">
        <w:tc>
          <w:tcPr>
            <w:tcW w:w="3145" w:type="dxa"/>
          </w:tcPr>
          <w:p w14:paraId="69E6A7E4" w14:textId="77777777" w:rsidR="00F53283" w:rsidRDefault="00F53283" w:rsidP="001348E8">
            <w:r w:rsidRPr="007B5FED">
              <w:rPr>
                <w:rFonts w:ascii="宋体" w:eastAsia="宋体" w:hAnsi="宋体" w:cs="宋体"/>
                <w:sz w:val="24"/>
                <w:szCs w:val="24"/>
              </w:rPr>
              <w:t>试用截止日（</w:t>
            </w:r>
            <w:r>
              <w:rPr>
                <w:rFonts w:ascii="宋体" w:eastAsia="宋体" w:hAnsi="宋体" w:cs="宋体" w:hint="eastAsia"/>
                <w:sz w:val="24"/>
                <w:szCs w:val="24"/>
              </w:rPr>
              <w:t>仅</w:t>
            </w:r>
            <w:r w:rsidRPr="007B5FED">
              <w:rPr>
                <w:rFonts w:ascii="宋体" w:eastAsia="宋体" w:hAnsi="宋体" w:cs="宋体"/>
                <w:sz w:val="24"/>
                <w:szCs w:val="24"/>
              </w:rPr>
              <w:t>试用库填写）</w:t>
            </w:r>
          </w:p>
        </w:tc>
        <w:tc>
          <w:tcPr>
            <w:tcW w:w="5151" w:type="dxa"/>
          </w:tcPr>
          <w:p w14:paraId="50C3CE2A" w14:textId="01D80DD2" w:rsidR="00F53283" w:rsidRPr="004515C2" w:rsidRDefault="00F53283" w:rsidP="001348E8">
            <w:r w:rsidRPr="00533293">
              <w:rPr>
                <w:highlight w:val="yellow"/>
              </w:rPr>
              <w:t>2020</w:t>
            </w:r>
            <w:r w:rsidRPr="00533293">
              <w:rPr>
                <w:rFonts w:hint="eastAsia"/>
                <w:highlight w:val="yellow"/>
              </w:rPr>
              <w:t>年</w:t>
            </w:r>
            <w:r w:rsidR="00AC05B5">
              <w:rPr>
                <w:rFonts w:hint="eastAsia"/>
                <w:highlight w:val="yellow"/>
              </w:rPr>
              <w:t>3</w:t>
            </w:r>
            <w:r w:rsidR="00AC05B5">
              <w:rPr>
                <w:rFonts w:hint="eastAsia"/>
                <w:highlight w:val="yellow"/>
              </w:rPr>
              <w:t>月</w:t>
            </w:r>
            <w:r w:rsidR="00713963">
              <w:rPr>
                <w:highlight w:val="yellow"/>
              </w:rPr>
              <w:t>11</w:t>
            </w:r>
            <w:r w:rsidRPr="00533293">
              <w:rPr>
                <w:rFonts w:hint="eastAsia"/>
                <w:highlight w:val="yellow"/>
              </w:rPr>
              <w:t>日</w:t>
            </w:r>
            <w:r w:rsidRPr="00533293">
              <w:rPr>
                <w:highlight w:val="yellow"/>
              </w:rPr>
              <w:t>—2020</w:t>
            </w:r>
            <w:r w:rsidRPr="00533293">
              <w:rPr>
                <w:rFonts w:hint="eastAsia"/>
                <w:highlight w:val="yellow"/>
              </w:rPr>
              <w:t>年</w:t>
            </w:r>
            <w:r w:rsidR="00AC05B5">
              <w:rPr>
                <w:rFonts w:hint="eastAsia"/>
                <w:highlight w:val="yellow"/>
              </w:rPr>
              <w:t>5</w:t>
            </w:r>
            <w:r w:rsidRPr="00533293">
              <w:rPr>
                <w:rFonts w:hint="eastAsia"/>
                <w:highlight w:val="yellow"/>
              </w:rPr>
              <w:t>月</w:t>
            </w:r>
            <w:r w:rsidR="00713963">
              <w:rPr>
                <w:highlight w:val="yellow"/>
              </w:rPr>
              <w:t>11</w:t>
            </w:r>
            <w:r w:rsidRPr="00533293">
              <w:rPr>
                <w:rFonts w:hint="eastAsia"/>
                <w:highlight w:val="yellow"/>
              </w:rPr>
              <w:t>日</w:t>
            </w:r>
          </w:p>
        </w:tc>
      </w:tr>
      <w:tr w:rsidR="00F53283" w14:paraId="02A60BF3" w14:textId="77777777" w:rsidTr="001348E8">
        <w:tc>
          <w:tcPr>
            <w:tcW w:w="3145" w:type="dxa"/>
          </w:tcPr>
          <w:p w14:paraId="60237562" w14:textId="77777777" w:rsidR="00F53283" w:rsidRDefault="00F53283" w:rsidP="001348E8">
            <w:r w:rsidRPr="007B5FED">
              <w:rPr>
                <w:rFonts w:ascii="宋体" w:eastAsia="宋体" w:hAnsi="宋体" w:cs="宋体"/>
                <w:sz w:val="24"/>
                <w:szCs w:val="24"/>
              </w:rPr>
              <w:t>数据库简介</w:t>
            </w:r>
          </w:p>
        </w:tc>
        <w:tc>
          <w:tcPr>
            <w:tcW w:w="5151" w:type="dxa"/>
          </w:tcPr>
          <w:p w14:paraId="4B5B24F8" w14:textId="00216699" w:rsidR="00F53283" w:rsidRDefault="00F53283" w:rsidP="001348E8">
            <w:r w:rsidRPr="00F53283">
              <w:rPr>
                <w:rFonts w:hint="eastAsia"/>
              </w:rPr>
              <w:t>爱思唯尓</w:t>
            </w:r>
            <w:r w:rsidRPr="00F53283">
              <w:rPr>
                <w:rFonts w:hint="eastAsia"/>
              </w:rPr>
              <w:t>SD</w:t>
            </w:r>
            <w:r w:rsidRPr="00F53283">
              <w:rPr>
                <w:rFonts w:hint="eastAsia"/>
              </w:rPr>
              <w:t>平台有约</w:t>
            </w:r>
            <w:r w:rsidRPr="00F53283">
              <w:rPr>
                <w:rFonts w:hint="eastAsia"/>
              </w:rPr>
              <w:t>38,000</w:t>
            </w:r>
            <w:r w:rsidRPr="00F53283">
              <w:rPr>
                <w:rFonts w:hint="eastAsia"/>
              </w:rPr>
              <w:t>多本电子图书分布在理工学、医学、生命科学和社会人文科学四大类</w:t>
            </w:r>
            <w:r w:rsidRPr="00F53283">
              <w:rPr>
                <w:rFonts w:hint="eastAsia"/>
              </w:rPr>
              <w:t>24</w:t>
            </w:r>
            <w:r w:rsidRPr="00F53283">
              <w:rPr>
                <w:rFonts w:hint="eastAsia"/>
              </w:rPr>
              <w:t>个学科中。涉及专著图书，丛书</w:t>
            </w:r>
            <w:r w:rsidR="00B554FD">
              <w:rPr>
                <w:rFonts w:hint="eastAsia"/>
              </w:rPr>
              <w:t>、教材</w:t>
            </w:r>
            <w:r w:rsidRPr="00F53283">
              <w:rPr>
                <w:rFonts w:hint="eastAsia"/>
              </w:rPr>
              <w:t>和大百科全书。</w:t>
            </w:r>
            <w:r w:rsidRPr="00F53283">
              <w:rPr>
                <w:rFonts w:hint="eastAsia"/>
              </w:rPr>
              <w:t>100</w:t>
            </w:r>
            <w:r w:rsidRPr="00F53283">
              <w:rPr>
                <w:rFonts w:hint="eastAsia"/>
              </w:rPr>
              <w:t>多位诺奖得主倾情奉献最精华的内容。</w:t>
            </w:r>
          </w:p>
        </w:tc>
      </w:tr>
      <w:tr w:rsidR="00F53283" w14:paraId="046961D5" w14:textId="77777777" w:rsidTr="001348E8">
        <w:tc>
          <w:tcPr>
            <w:tcW w:w="3145" w:type="dxa"/>
          </w:tcPr>
          <w:p w14:paraId="37251230" w14:textId="77777777" w:rsidR="00F53283" w:rsidRDefault="00F53283" w:rsidP="001348E8">
            <w:r w:rsidRPr="007B5FED">
              <w:rPr>
                <w:rFonts w:ascii="宋体" w:eastAsia="宋体" w:hAnsi="宋体" w:cs="宋体"/>
                <w:sz w:val="24"/>
                <w:szCs w:val="24"/>
              </w:rPr>
              <w:t>数据库</w:t>
            </w:r>
            <w:r>
              <w:rPr>
                <w:rFonts w:ascii="宋体" w:eastAsia="宋体" w:hAnsi="宋体" w:cs="宋体" w:hint="eastAsia"/>
                <w:sz w:val="24"/>
                <w:szCs w:val="24"/>
              </w:rPr>
              <w:t>最主要</w:t>
            </w:r>
            <w:r w:rsidRPr="007B5FED">
              <w:rPr>
                <w:rFonts w:ascii="宋体" w:eastAsia="宋体" w:hAnsi="宋体" w:cs="宋体"/>
                <w:sz w:val="24"/>
                <w:szCs w:val="24"/>
              </w:rPr>
              <w:t>特色</w:t>
            </w:r>
          </w:p>
        </w:tc>
        <w:tc>
          <w:tcPr>
            <w:tcW w:w="5151" w:type="dxa"/>
          </w:tcPr>
          <w:p w14:paraId="24379C06" w14:textId="77777777" w:rsidR="00F53283" w:rsidRDefault="00F53283" w:rsidP="001348E8">
            <w:r>
              <w:rPr>
                <w:rFonts w:hint="eastAsia"/>
              </w:rPr>
              <w:t>与</w:t>
            </w:r>
            <w:r>
              <w:rPr>
                <w:rFonts w:hint="eastAsia"/>
              </w:rPr>
              <w:t>ScienceDirect</w:t>
            </w:r>
            <w:r>
              <w:rPr>
                <w:rFonts w:hint="eastAsia"/>
              </w:rPr>
              <w:t>期刊内容同平台，全平台图书访问。</w:t>
            </w:r>
            <w:r w:rsidRPr="0038279C">
              <w:rPr>
                <w:rFonts w:hint="eastAsia"/>
              </w:rPr>
              <w:t>图书都是由爱思唯尔知名出版品牌如</w:t>
            </w:r>
            <w:r w:rsidRPr="0038279C">
              <w:rPr>
                <w:rFonts w:hint="eastAsia"/>
              </w:rPr>
              <w:t>Academic Press</w:t>
            </w:r>
            <w:r w:rsidRPr="0038279C">
              <w:rPr>
                <w:rFonts w:hint="eastAsia"/>
              </w:rPr>
              <w:t>、</w:t>
            </w:r>
            <w:r w:rsidRPr="0038279C">
              <w:rPr>
                <w:rFonts w:hint="eastAsia"/>
              </w:rPr>
              <w:t xml:space="preserve">Butterworth-Heinemann </w:t>
            </w:r>
            <w:r w:rsidRPr="0038279C">
              <w:rPr>
                <w:rFonts w:hint="eastAsia"/>
              </w:rPr>
              <w:t>、</w:t>
            </w:r>
            <w:r w:rsidRPr="0038279C">
              <w:rPr>
                <w:rFonts w:hint="eastAsia"/>
              </w:rPr>
              <w:t xml:space="preserve">Morgan Kaufmann </w:t>
            </w:r>
            <w:r w:rsidRPr="0038279C">
              <w:rPr>
                <w:rFonts w:hint="eastAsia"/>
              </w:rPr>
              <w:t>、</w:t>
            </w:r>
            <w:r w:rsidRPr="0038279C">
              <w:rPr>
                <w:rFonts w:hint="eastAsia"/>
              </w:rPr>
              <w:t>Elsevier</w:t>
            </w:r>
            <w:r w:rsidRPr="0038279C">
              <w:rPr>
                <w:rFonts w:hint="eastAsia"/>
              </w:rPr>
              <w:t>、</w:t>
            </w:r>
            <w:r w:rsidRPr="0038279C">
              <w:rPr>
                <w:rFonts w:hint="eastAsia"/>
              </w:rPr>
              <w:t>Pergamon</w:t>
            </w:r>
            <w:r w:rsidRPr="0038279C">
              <w:rPr>
                <w:rFonts w:hint="eastAsia"/>
              </w:rPr>
              <w:t>、</w:t>
            </w:r>
            <w:r w:rsidRPr="0038279C">
              <w:rPr>
                <w:rFonts w:hint="eastAsia"/>
              </w:rPr>
              <w:t>Woodhead Publishing</w:t>
            </w:r>
            <w:r w:rsidRPr="0038279C">
              <w:rPr>
                <w:rFonts w:hint="eastAsia"/>
              </w:rPr>
              <w:t>、</w:t>
            </w:r>
            <w:r w:rsidRPr="0038279C">
              <w:rPr>
                <w:rFonts w:hint="eastAsia"/>
              </w:rPr>
              <w:t>William Andrew</w:t>
            </w:r>
            <w:r w:rsidRPr="0038279C">
              <w:rPr>
                <w:rFonts w:hint="eastAsia"/>
              </w:rPr>
              <w:t>等出版，深受行业认可和信赖，为教学和科研，以及学科建设和发展提供权威可靠、高质量的内容资源。</w:t>
            </w:r>
          </w:p>
        </w:tc>
      </w:tr>
    </w:tbl>
    <w:p w14:paraId="7DA76BF7" w14:textId="77777777" w:rsidR="00026077" w:rsidRDefault="0097785A" w:rsidP="005E71AE">
      <w:pPr>
        <w:autoSpaceDE w:val="0"/>
        <w:autoSpaceDN w:val="0"/>
        <w:adjustRightInd w:val="0"/>
        <w:spacing w:after="0" w:line="480" w:lineRule="auto"/>
        <w:rPr>
          <w:rFonts w:ascii="NexusSansOffcPro" w:hAnsi="NexusSansOffcPro" w:cs="NexusSansOffcPro"/>
          <w:sz w:val="24"/>
          <w:szCs w:val="24"/>
        </w:rPr>
      </w:pPr>
      <w:r>
        <w:rPr>
          <w:rFonts w:ascii="NexusSansOffcPro" w:hAnsi="NexusSansOffcPro" w:cs="NexusSansOffcPro" w:hint="eastAsia"/>
          <w:noProof/>
          <w:sz w:val="24"/>
          <w:szCs w:val="24"/>
        </w:rPr>
        <mc:AlternateContent>
          <mc:Choice Requires="wps">
            <w:drawing>
              <wp:anchor distT="0" distB="0" distL="114300" distR="114300" simplePos="0" relativeHeight="251662336" behindDoc="0" locked="0" layoutInCell="1" allowOverlap="1" wp14:anchorId="27822889" wp14:editId="4759E1BE">
                <wp:simplePos x="0" y="0"/>
                <wp:positionH relativeFrom="column">
                  <wp:posOffset>2266950</wp:posOffset>
                </wp:positionH>
                <wp:positionV relativeFrom="paragraph">
                  <wp:posOffset>230505</wp:posOffset>
                </wp:positionV>
                <wp:extent cx="1533525" cy="514350"/>
                <wp:effectExtent l="57150" t="38100" r="66675" b="76200"/>
                <wp:wrapTopAndBottom/>
                <wp:docPr id="14" name="Rectangle 14"/>
                <wp:cNvGraphicFramePr/>
                <a:graphic xmlns:a="http://schemas.openxmlformats.org/drawingml/2006/main">
                  <a:graphicData uri="http://schemas.microsoft.com/office/word/2010/wordprocessingShape">
                    <wps:wsp>
                      <wps:cNvSpPr/>
                      <wps:spPr>
                        <a:xfrm>
                          <a:off x="0" y="0"/>
                          <a:ext cx="1533525" cy="514350"/>
                        </a:xfrm>
                        <a:prstGeom prst="rect">
                          <a:avLst/>
                        </a:prstGeom>
                        <a:ln/>
                      </wps:spPr>
                      <wps:style>
                        <a:lnRef idx="0">
                          <a:schemeClr val="accent2"/>
                        </a:lnRef>
                        <a:fillRef idx="3">
                          <a:schemeClr val="accent2"/>
                        </a:fillRef>
                        <a:effectRef idx="3">
                          <a:schemeClr val="accent2"/>
                        </a:effectRef>
                        <a:fontRef idx="minor">
                          <a:schemeClr val="lt1"/>
                        </a:fontRef>
                      </wps:style>
                      <wps:txbx>
                        <w:txbxContent>
                          <w:p w14:paraId="42FD56D7" w14:textId="3EBE6B59" w:rsidR="00026077" w:rsidRPr="00026077" w:rsidRDefault="001534A5" w:rsidP="00026077">
                            <w:pPr>
                              <w:jc w:val="center"/>
                              <w:rPr>
                                <w:sz w:val="36"/>
                                <w:szCs w:val="36"/>
                              </w:rPr>
                            </w:pPr>
                            <w:r>
                              <w:rPr>
                                <w:rFonts w:hint="eastAsia"/>
                                <w:sz w:val="36"/>
                                <w:szCs w:val="36"/>
                              </w:rPr>
                              <w:t>划重点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22889" id="Rectangle 14" o:spid="_x0000_s1034" style="position:absolute;margin-left:178.5pt;margin-top:18.15pt;width:120.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" fillcolor="#ee853d [3029]" stroked="f">
                <v:fill color2="#ec7a2d [3173]" rotate="t" colors="0 #f18c55;.5 #f67b28;1 #e56b17" focus="100%" type="gradient">
                  <o:fill v:ext="view" type="gradientUnscaled"/>
                </v:fill>
                <v:shadow on="t" color="black" opacity="41287f" offset="0,1.5pt"/>
                <v:textbox>
                  <w:txbxContent>
                    <w:p w14:paraId="42FD56D7" w14:textId="3EBE6B59" w:rsidR="00026077" w:rsidRPr="00026077" w:rsidRDefault="001534A5" w:rsidP="00026077">
                      <w:pPr>
                        <w:jc w:val="center"/>
                        <w:rPr>
                          <w:sz w:val="36"/>
                          <w:szCs w:val="36"/>
                        </w:rPr>
                      </w:pPr>
                      <w:r>
                        <w:rPr>
                          <w:rFonts w:hint="eastAsia"/>
                          <w:sz w:val="36"/>
                          <w:szCs w:val="36"/>
                        </w:rPr>
                        <w:t>划重点</w:t>
                      </w:r>
                    </w:p>
                  </w:txbxContent>
                </v:textbox>
                <w10:wrap type="topAndBottom"/>
              </v:rect>
            </w:pict>
          </mc:Fallback>
        </mc:AlternateContent>
      </w:r>
    </w:p>
    <w:p w14:paraId="74403BFB" w14:textId="39B5EC43" w:rsidR="00AD02E1" w:rsidRPr="00017D78" w:rsidRDefault="006731C8" w:rsidP="00017D78">
      <w:pPr>
        <w:autoSpaceDE w:val="0"/>
        <w:autoSpaceDN w:val="0"/>
        <w:adjustRightInd w:val="0"/>
        <w:spacing w:after="0" w:line="240" w:lineRule="auto"/>
        <w:rPr>
          <w:sz w:val="18"/>
          <w:szCs w:val="18"/>
        </w:rPr>
      </w:pPr>
      <w:r w:rsidRPr="00017D78">
        <w:t xml:space="preserve">  </w:t>
      </w:r>
      <w:r w:rsidR="00B13362" w:rsidRPr="00017D78">
        <w:rPr>
          <w:rFonts w:hint="eastAsia"/>
        </w:rPr>
        <w:t>鉴于目前的疫情影响，在家工作学习的小伙伴较多，</w:t>
      </w:r>
      <w:r w:rsidR="001C4B24" w:rsidRPr="00017D78">
        <w:rPr>
          <w:rFonts w:hint="eastAsia"/>
        </w:rPr>
        <w:t>我们</w:t>
      </w:r>
      <w:r w:rsidR="00B13362" w:rsidRPr="00017D78">
        <w:rPr>
          <w:rFonts w:hint="eastAsia"/>
        </w:rPr>
        <w:t>为大家总结在家访问数据库的两种方式：</w:t>
      </w:r>
      <w:r w:rsidR="00AD02E1" w:rsidRPr="00017D78">
        <w:rPr>
          <w:rFonts w:hint="eastAsia"/>
        </w:rPr>
        <w:t>读者可随时随地访问这些资源。对于在校外工作学习的读者们，可以任意选择以下方式进行访问：</w:t>
      </w:r>
    </w:p>
    <w:p w14:paraId="5F4A0989" w14:textId="77777777" w:rsidR="00AD02E1" w:rsidRPr="00017D78" w:rsidRDefault="00AD02E1" w:rsidP="00017D78">
      <w:pPr>
        <w:pStyle w:val="ListParagraph"/>
        <w:numPr>
          <w:ilvl w:val="0"/>
          <w:numId w:val="8"/>
        </w:numPr>
        <w:spacing w:after="0" w:line="240" w:lineRule="auto"/>
        <w:rPr>
          <w:rFonts w:ascii="微软雅黑" w:eastAsia="微软雅黑" w:hAnsi="微软雅黑" w:cs="Times New Roman"/>
          <w:b/>
          <w:bCs/>
          <w:color w:val="000000" w:themeColor="text1"/>
          <w:sz w:val="20"/>
          <w:szCs w:val="20"/>
          <w:lang w:val="en-GB"/>
        </w:rPr>
      </w:pPr>
      <w:r w:rsidRPr="00017D78">
        <w:rPr>
          <w:rFonts w:ascii="微软雅黑" w:eastAsia="微软雅黑" w:hAnsi="微软雅黑" w:cs="Times New Roman" w:hint="eastAsia"/>
          <w:b/>
          <w:bCs/>
          <w:color w:val="000000" w:themeColor="text1"/>
          <w:sz w:val="20"/>
          <w:szCs w:val="20"/>
          <w:lang w:val="en-GB"/>
        </w:rPr>
        <w:t>使用学校</w:t>
      </w:r>
      <w:r w:rsidRPr="00017D78">
        <w:rPr>
          <w:rFonts w:ascii="微软雅黑" w:eastAsia="微软雅黑" w:hAnsi="微软雅黑" w:cs="Times New Roman"/>
          <w:b/>
          <w:bCs/>
          <w:color w:val="000000" w:themeColor="text1"/>
          <w:sz w:val="20"/>
          <w:szCs w:val="20"/>
          <w:lang w:val="en-GB"/>
        </w:rPr>
        <w:t>VPN</w:t>
      </w:r>
      <w:r w:rsidRPr="00017D78">
        <w:rPr>
          <w:rFonts w:ascii="微软雅黑" w:eastAsia="微软雅黑" w:hAnsi="微软雅黑" w:cs="Times New Roman" w:hint="eastAsia"/>
          <w:b/>
          <w:bCs/>
          <w:color w:val="000000" w:themeColor="text1"/>
          <w:sz w:val="20"/>
          <w:szCs w:val="20"/>
          <w:lang w:val="en-GB"/>
        </w:rPr>
        <w:t>直接访问；</w:t>
      </w:r>
    </w:p>
    <w:p w14:paraId="365CC8A0" w14:textId="77777777" w:rsidR="00AD02E1" w:rsidRPr="00017D78" w:rsidRDefault="00AD02E1" w:rsidP="00017D78">
      <w:pPr>
        <w:pStyle w:val="ListParagraph"/>
        <w:numPr>
          <w:ilvl w:val="0"/>
          <w:numId w:val="8"/>
        </w:numPr>
        <w:spacing w:after="0" w:line="240" w:lineRule="auto"/>
        <w:rPr>
          <w:rFonts w:ascii="微软雅黑" w:eastAsia="微软雅黑" w:hAnsi="微软雅黑" w:cs="Times New Roman"/>
          <w:color w:val="000000" w:themeColor="text1"/>
          <w:sz w:val="20"/>
          <w:szCs w:val="20"/>
          <w:lang w:val="en-GB"/>
        </w:rPr>
      </w:pPr>
      <w:r w:rsidRPr="00017D78">
        <w:rPr>
          <w:rFonts w:ascii="微软雅黑" w:eastAsia="微软雅黑" w:hAnsi="微软雅黑" w:cs="Times New Roman" w:hint="eastAsia"/>
          <w:b/>
          <w:bCs/>
          <w:color w:val="000000" w:themeColor="text1"/>
          <w:sz w:val="20"/>
          <w:szCs w:val="20"/>
          <w:lang w:val="en-GB"/>
        </w:rPr>
        <w:t>使用平台远程访问（R</w:t>
      </w:r>
      <w:r w:rsidRPr="00017D78">
        <w:rPr>
          <w:rFonts w:ascii="微软雅黑" w:eastAsia="微软雅黑" w:hAnsi="微软雅黑" w:cs="Times New Roman"/>
          <w:b/>
          <w:bCs/>
          <w:color w:val="000000" w:themeColor="text1"/>
          <w:sz w:val="20"/>
          <w:szCs w:val="20"/>
          <w:lang w:val="en-GB"/>
        </w:rPr>
        <w:t>emote A</w:t>
      </w:r>
      <w:r w:rsidRPr="00017D78">
        <w:rPr>
          <w:rFonts w:ascii="微软雅黑" w:eastAsia="微软雅黑" w:hAnsi="微软雅黑" w:cs="Times New Roman" w:hint="eastAsia"/>
          <w:b/>
          <w:bCs/>
          <w:color w:val="000000" w:themeColor="text1"/>
          <w:sz w:val="20"/>
          <w:szCs w:val="20"/>
          <w:lang w:val="en-GB"/>
        </w:rPr>
        <w:t>c</w:t>
      </w:r>
      <w:r w:rsidRPr="00017D78">
        <w:rPr>
          <w:rFonts w:ascii="微软雅黑" w:eastAsia="微软雅黑" w:hAnsi="微软雅黑" w:cs="Times New Roman"/>
          <w:b/>
          <w:bCs/>
          <w:color w:val="000000" w:themeColor="text1"/>
          <w:sz w:val="20"/>
          <w:szCs w:val="20"/>
          <w:lang w:val="en-GB"/>
        </w:rPr>
        <w:t>cess</w:t>
      </w:r>
      <w:r w:rsidRPr="00017D78">
        <w:rPr>
          <w:rFonts w:ascii="微软雅黑" w:eastAsia="微软雅黑" w:hAnsi="微软雅黑" w:cs="Times New Roman" w:hint="eastAsia"/>
          <w:b/>
          <w:bCs/>
          <w:color w:val="000000" w:themeColor="text1"/>
          <w:sz w:val="20"/>
          <w:szCs w:val="20"/>
          <w:lang w:val="en-GB"/>
        </w:rPr>
        <w:t>）功能：</w:t>
      </w:r>
      <w:r w:rsidRPr="00017D78">
        <w:rPr>
          <w:rFonts w:ascii="微软雅黑" w:eastAsia="微软雅黑" w:hAnsi="微软雅黑" w:cs="Times New Roman" w:hint="eastAsia"/>
          <w:color w:val="000000" w:themeColor="text1"/>
          <w:sz w:val="20"/>
          <w:szCs w:val="20"/>
          <w:lang w:val="en-GB"/>
        </w:rPr>
        <w:t>校园网环境下，在S</w:t>
      </w:r>
      <w:r w:rsidRPr="00017D78">
        <w:rPr>
          <w:rFonts w:ascii="微软雅黑" w:eastAsia="微软雅黑" w:hAnsi="微软雅黑" w:cs="Times New Roman"/>
          <w:color w:val="000000" w:themeColor="text1"/>
          <w:sz w:val="20"/>
          <w:szCs w:val="20"/>
          <w:lang w:val="en-GB"/>
        </w:rPr>
        <w:t>cienceDirect</w:t>
      </w:r>
      <w:r w:rsidRPr="00017D78">
        <w:rPr>
          <w:rFonts w:ascii="微软雅黑" w:eastAsia="微软雅黑" w:hAnsi="微软雅黑" w:cs="Times New Roman" w:hint="eastAsia"/>
          <w:color w:val="000000" w:themeColor="text1"/>
          <w:sz w:val="20"/>
          <w:szCs w:val="20"/>
          <w:lang w:val="en-GB"/>
        </w:rPr>
        <w:t>平台通过个人账号设置此功能。设置成功后，1</w:t>
      </w:r>
      <w:r w:rsidRPr="00017D78">
        <w:rPr>
          <w:rFonts w:ascii="微软雅黑" w:eastAsia="微软雅黑" w:hAnsi="微软雅黑" w:cs="Times New Roman"/>
          <w:color w:val="000000" w:themeColor="text1"/>
          <w:sz w:val="20"/>
          <w:szCs w:val="20"/>
          <w:lang w:val="en-GB"/>
        </w:rPr>
        <w:t>80</w:t>
      </w:r>
      <w:r w:rsidRPr="00017D78">
        <w:rPr>
          <w:rFonts w:ascii="微软雅黑" w:eastAsia="微软雅黑" w:hAnsi="微软雅黑" w:cs="Times New Roman" w:hint="eastAsia"/>
          <w:color w:val="000000" w:themeColor="text1"/>
          <w:sz w:val="20"/>
          <w:szCs w:val="20"/>
          <w:lang w:val="en-GB"/>
        </w:rPr>
        <w:t>内直接使用个人账号登录访问（无需再登录V</w:t>
      </w:r>
      <w:r w:rsidRPr="00017D78">
        <w:rPr>
          <w:rFonts w:ascii="微软雅黑" w:eastAsia="微软雅黑" w:hAnsi="微软雅黑" w:cs="Times New Roman"/>
          <w:color w:val="000000" w:themeColor="text1"/>
          <w:sz w:val="20"/>
          <w:szCs w:val="20"/>
          <w:lang w:val="en-GB"/>
        </w:rPr>
        <w:t>PN</w:t>
      </w:r>
      <w:r w:rsidRPr="00017D78">
        <w:rPr>
          <w:rFonts w:ascii="微软雅黑" w:eastAsia="微软雅黑" w:hAnsi="微软雅黑" w:cs="Times New Roman" w:hint="eastAsia"/>
          <w:color w:val="000000" w:themeColor="text1"/>
          <w:sz w:val="20"/>
          <w:szCs w:val="20"/>
          <w:lang w:val="en-GB"/>
        </w:rPr>
        <w:t>）。具体设置步骤请参考：</w:t>
      </w:r>
      <w:hyperlink r:id="rId21" w:history="1">
        <w:r w:rsidRPr="00017D78">
          <w:rPr>
            <w:rStyle w:val="Hyperlink"/>
            <w:rFonts w:ascii="微软雅黑" w:eastAsia="微软雅黑" w:hAnsi="微软雅黑" w:hint="eastAsia"/>
            <w:sz w:val="18"/>
            <w:szCs w:val="18"/>
          </w:rPr>
          <w:t>https://mp.weixin.qq.com/s/jH35PGYCZSMXRviWLLyglA</w:t>
        </w:r>
      </w:hyperlink>
    </w:p>
    <w:p w14:paraId="208985A2" w14:textId="77777777" w:rsidR="00AD02E1" w:rsidRPr="00017D78" w:rsidRDefault="00AD02E1" w:rsidP="00017D78">
      <w:pPr>
        <w:pStyle w:val="ListParagraph"/>
        <w:numPr>
          <w:ilvl w:val="0"/>
          <w:numId w:val="8"/>
        </w:numPr>
        <w:spacing w:after="0" w:line="240" w:lineRule="auto"/>
        <w:rPr>
          <w:rFonts w:ascii="微软雅黑" w:eastAsia="微软雅黑" w:hAnsi="微软雅黑" w:cs="Times New Roman"/>
          <w:color w:val="000000" w:themeColor="text1"/>
          <w:sz w:val="20"/>
          <w:szCs w:val="20"/>
          <w:lang w:val="en-GB"/>
        </w:rPr>
      </w:pPr>
      <w:r w:rsidRPr="00017D78">
        <w:rPr>
          <w:rFonts w:ascii="微软雅黑" w:eastAsia="微软雅黑" w:hAnsi="微软雅黑" w:cs="Times New Roman" w:hint="eastAsia"/>
          <w:b/>
          <w:bCs/>
          <w:color w:val="000000" w:themeColor="text1"/>
          <w:sz w:val="20"/>
          <w:szCs w:val="20"/>
          <w:lang w:val="en-GB"/>
        </w:rPr>
        <w:t>使用C</w:t>
      </w:r>
      <w:r w:rsidRPr="00017D78">
        <w:rPr>
          <w:rFonts w:ascii="微软雅黑" w:eastAsia="微软雅黑" w:hAnsi="微软雅黑" w:cs="Times New Roman"/>
          <w:b/>
          <w:bCs/>
          <w:color w:val="000000" w:themeColor="text1"/>
          <w:sz w:val="20"/>
          <w:szCs w:val="20"/>
          <w:lang w:val="en-GB"/>
        </w:rPr>
        <w:t>ARSI</w:t>
      </w:r>
      <w:r w:rsidRPr="00017D78">
        <w:rPr>
          <w:rFonts w:ascii="微软雅黑" w:eastAsia="微软雅黑" w:hAnsi="微软雅黑" w:cs="Times New Roman" w:hint="eastAsia"/>
          <w:b/>
          <w:bCs/>
          <w:color w:val="000000" w:themeColor="text1"/>
          <w:sz w:val="20"/>
          <w:szCs w:val="20"/>
          <w:lang w:val="en-GB"/>
        </w:rPr>
        <w:t>校园网账号访问</w:t>
      </w:r>
      <w:r w:rsidRPr="00017D78">
        <w:rPr>
          <w:rFonts w:ascii="微软雅黑" w:eastAsia="微软雅黑" w:hAnsi="微软雅黑" w:cs="Times New Roman" w:hint="eastAsia"/>
          <w:color w:val="000000" w:themeColor="text1"/>
          <w:sz w:val="20"/>
          <w:szCs w:val="20"/>
          <w:lang w:val="en-GB"/>
        </w:rPr>
        <w:t>：具体使用方式请参考：</w:t>
      </w:r>
      <w:hyperlink r:id="rId22" w:history="1">
        <w:r w:rsidRPr="00017D78">
          <w:rPr>
            <w:rStyle w:val="Hyperlink"/>
            <w:rFonts w:ascii="微软雅黑" w:eastAsia="微软雅黑" w:hAnsi="微软雅黑" w:cs="Calibri" w:hint="eastAsia"/>
            <w:sz w:val="18"/>
            <w:szCs w:val="18"/>
          </w:rPr>
          <w:t>https://mp.weixin.qq.com/s/Oq_H-gNgXX1X2cwnPc92TQ</w:t>
        </w:r>
      </w:hyperlink>
    </w:p>
    <w:p w14:paraId="6463089E" w14:textId="3C0DB0B1" w:rsidR="00B53A0F" w:rsidRPr="00017D78" w:rsidRDefault="00B53A0F" w:rsidP="00AD02E1">
      <w:pPr>
        <w:autoSpaceDE w:val="0"/>
        <w:autoSpaceDN w:val="0"/>
        <w:adjustRightInd w:val="0"/>
        <w:spacing w:after="0" w:line="480" w:lineRule="auto"/>
        <w:ind w:left="180"/>
        <w:rPr>
          <w:rFonts w:ascii="NexusSansOffcPro" w:hAnsi="NexusSansOffcPro" w:cs="NexusSansOffcPro"/>
          <w:sz w:val="20"/>
          <w:szCs w:val="20"/>
          <w:lang w:val="en-GB"/>
        </w:rPr>
      </w:pPr>
    </w:p>
    <w:p w14:paraId="45C09D50" w14:textId="77777777" w:rsidR="001534A5" w:rsidRDefault="009A4D35" w:rsidP="001534A5">
      <w:pPr>
        <w:autoSpaceDE w:val="0"/>
        <w:autoSpaceDN w:val="0"/>
        <w:adjustRightInd w:val="0"/>
        <w:spacing w:after="0" w:line="480" w:lineRule="auto"/>
        <w:ind w:firstLine="450"/>
        <w:rPr>
          <w:rFonts w:ascii="MicrosoftYaHei" w:eastAsia="MicrosoftYaHei" w:hAnsi="NexusSansOffcPro" w:cs="MicrosoftYaHei"/>
          <w:sz w:val="24"/>
          <w:szCs w:val="24"/>
        </w:rPr>
      </w:pPr>
      <w:r>
        <w:rPr>
          <w:rFonts w:ascii="MicrosoftYaHei" w:eastAsia="MicrosoftYaHei" w:hAnsi="NexusSansOffcPro" w:cs="MicrosoftYaHei" w:hint="eastAsia"/>
          <w:sz w:val="24"/>
          <w:szCs w:val="24"/>
        </w:rPr>
        <w:t>你</w:t>
      </w:r>
      <w:r w:rsidR="00413F9C">
        <w:rPr>
          <w:rFonts w:ascii="MicrosoftYaHei" w:eastAsia="MicrosoftYaHei" w:hAnsi="NexusSansOffcPro" w:cs="MicrosoftYaHei" w:hint="eastAsia"/>
          <w:sz w:val="24"/>
          <w:szCs w:val="24"/>
        </w:rPr>
        <w:t>准备好了吗？</w:t>
      </w:r>
      <w:r w:rsidR="00413F9C">
        <w:rPr>
          <w:noProof/>
        </w:rPr>
        <w:drawing>
          <wp:inline distT="0" distB="0" distL="0" distR="0" wp14:anchorId="51F872FA" wp14:editId="09CF9898">
            <wp:extent cx="1562100" cy="1562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7142DD9D" w14:textId="3C72ADC0" w:rsidR="004C1367" w:rsidRDefault="004C1367" w:rsidP="002D705E">
      <w:pPr>
        <w:autoSpaceDE w:val="0"/>
        <w:autoSpaceDN w:val="0"/>
        <w:adjustRightInd w:val="0"/>
        <w:spacing w:after="0" w:line="480" w:lineRule="auto"/>
        <w:ind w:firstLine="450"/>
        <w:jc w:val="right"/>
      </w:pPr>
      <w:r>
        <w:rPr>
          <w:noProof/>
        </w:rPr>
        <w:drawing>
          <wp:inline distT="0" distB="0" distL="0" distR="0" wp14:anchorId="4D181994" wp14:editId="309A2FA3">
            <wp:extent cx="1657350" cy="352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57350" cy="352425"/>
                    </a:xfrm>
                    <a:prstGeom prst="rect">
                      <a:avLst/>
                    </a:prstGeom>
                  </pic:spPr>
                </pic:pic>
              </a:graphicData>
            </a:graphic>
          </wp:inline>
        </w:drawing>
      </w:r>
      <w:bookmarkStart w:id="1" w:name="_GoBack"/>
      <w:bookmarkEnd w:id="1"/>
    </w:p>
    <w:sectPr w:rsidR="004C13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666B" w14:textId="77777777" w:rsidR="007C6754" w:rsidRDefault="007C6754" w:rsidP="00982ECC">
      <w:pPr>
        <w:spacing w:after="0" w:line="240" w:lineRule="auto"/>
      </w:pPr>
      <w:r>
        <w:separator/>
      </w:r>
    </w:p>
  </w:endnote>
  <w:endnote w:type="continuationSeparator" w:id="0">
    <w:p w14:paraId="594713D5" w14:textId="77777777" w:rsidR="007C6754" w:rsidRDefault="007C6754" w:rsidP="009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YaHei">
    <w:altName w:val="微软雅黑"/>
    <w:panose1 w:val="00000000000000000000"/>
    <w:charset w:val="86"/>
    <w:family w:val="auto"/>
    <w:notTrueType/>
    <w:pitch w:val="default"/>
    <w:sig w:usb0="00000001" w:usb1="080E0000" w:usb2="00000010" w:usb3="00000000" w:csb0="00040000" w:csb1="00000000"/>
  </w:font>
  <w:font w:name="NexusSansOffcPro">
    <w:altName w:val="Calibri"/>
    <w:panose1 w:val="00000000000000000000"/>
    <w:charset w:val="00"/>
    <w:family w:val="swiss"/>
    <w:notTrueType/>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31859" w14:textId="77777777" w:rsidR="007C6754" w:rsidRDefault="007C6754" w:rsidP="00982ECC">
      <w:pPr>
        <w:spacing w:after="0" w:line="240" w:lineRule="auto"/>
      </w:pPr>
      <w:r>
        <w:separator/>
      </w:r>
    </w:p>
  </w:footnote>
  <w:footnote w:type="continuationSeparator" w:id="0">
    <w:p w14:paraId="2042B1B7" w14:textId="77777777" w:rsidR="007C6754" w:rsidRDefault="007C6754" w:rsidP="00982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09F"/>
    <w:multiLevelType w:val="hybridMultilevel"/>
    <w:tmpl w:val="5008D0EC"/>
    <w:lvl w:ilvl="0" w:tplc="DD2A3270">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2A47"/>
    <w:multiLevelType w:val="hybridMultilevel"/>
    <w:tmpl w:val="233A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F0C23"/>
    <w:multiLevelType w:val="hybridMultilevel"/>
    <w:tmpl w:val="D102C850"/>
    <w:lvl w:ilvl="0" w:tplc="53F075AC">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 w15:restartNumberingAfterBreak="0">
    <w:nsid w:val="3EC53983"/>
    <w:multiLevelType w:val="hybridMultilevel"/>
    <w:tmpl w:val="5BD0B846"/>
    <w:lvl w:ilvl="0" w:tplc="FB32568E">
      <w:start w:val="1"/>
      <w:numFmt w:val="bullet"/>
      <w:lvlText w:val=""/>
      <w:lvlJc w:val="left"/>
      <w:pPr>
        <w:ind w:left="1170" w:hanging="360"/>
      </w:pPr>
      <w:rPr>
        <w:rFonts w:ascii="Symbol" w:hAnsi="Symbol" w:hint="default"/>
        <w:color w:val="ED7D31" w:themeColor="accent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7B124C1"/>
    <w:multiLevelType w:val="hybridMultilevel"/>
    <w:tmpl w:val="964EC8B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4E363441"/>
    <w:multiLevelType w:val="hybridMultilevel"/>
    <w:tmpl w:val="DD9096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BB1C74"/>
    <w:multiLevelType w:val="hybridMultilevel"/>
    <w:tmpl w:val="8570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7B7B9D"/>
    <w:multiLevelType w:val="hybridMultilevel"/>
    <w:tmpl w:val="F8961714"/>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6950A9C"/>
    <w:multiLevelType w:val="hybridMultilevel"/>
    <w:tmpl w:val="040A2C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8"/>
  </w:num>
  <w:num w:numId="2">
    <w:abstractNumId w:val="4"/>
  </w:num>
  <w:num w:numId="3">
    <w:abstractNumId w:val="3"/>
  </w:num>
  <w:num w:numId="4">
    <w:abstractNumId w:val="1"/>
  </w:num>
  <w:num w:numId="5">
    <w:abstractNumId w:val="6"/>
  </w:num>
  <w:num w:numId="6">
    <w:abstractNumId w:val="5"/>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CA"/>
    <w:rsid w:val="0001150B"/>
    <w:rsid w:val="00012DD6"/>
    <w:rsid w:val="00017D78"/>
    <w:rsid w:val="000248C2"/>
    <w:rsid w:val="00026077"/>
    <w:rsid w:val="00053B98"/>
    <w:rsid w:val="00061D99"/>
    <w:rsid w:val="00074D23"/>
    <w:rsid w:val="000802E5"/>
    <w:rsid w:val="000A0BF3"/>
    <w:rsid w:val="000A50CE"/>
    <w:rsid w:val="000B5A00"/>
    <w:rsid w:val="000C5C23"/>
    <w:rsid w:val="000F3067"/>
    <w:rsid w:val="001035EA"/>
    <w:rsid w:val="00123DCD"/>
    <w:rsid w:val="0012633C"/>
    <w:rsid w:val="001319A5"/>
    <w:rsid w:val="001534A5"/>
    <w:rsid w:val="00156791"/>
    <w:rsid w:val="00156F97"/>
    <w:rsid w:val="001655EE"/>
    <w:rsid w:val="00174597"/>
    <w:rsid w:val="001874EB"/>
    <w:rsid w:val="001A009A"/>
    <w:rsid w:val="001A096F"/>
    <w:rsid w:val="001B55BA"/>
    <w:rsid w:val="001B6E2D"/>
    <w:rsid w:val="001C04A2"/>
    <w:rsid w:val="001C4B24"/>
    <w:rsid w:val="001E1D48"/>
    <w:rsid w:val="001E4390"/>
    <w:rsid w:val="001F7355"/>
    <w:rsid w:val="00240E83"/>
    <w:rsid w:val="002523DF"/>
    <w:rsid w:val="00254E3D"/>
    <w:rsid w:val="00264C2A"/>
    <w:rsid w:val="00295A41"/>
    <w:rsid w:val="002C3400"/>
    <w:rsid w:val="002C6032"/>
    <w:rsid w:val="002C6355"/>
    <w:rsid w:val="002D705E"/>
    <w:rsid w:val="002F0744"/>
    <w:rsid w:val="002F5BD7"/>
    <w:rsid w:val="00331B8F"/>
    <w:rsid w:val="00341233"/>
    <w:rsid w:val="00353D4C"/>
    <w:rsid w:val="0035531F"/>
    <w:rsid w:val="00367C5C"/>
    <w:rsid w:val="0037140E"/>
    <w:rsid w:val="00371DBB"/>
    <w:rsid w:val="00396EB1"/>
    <w:rsid w:val="003B6DFE"/>
    <w:rsid w:val="003C32D1"/>
    <w:rsid w:val="003F6CD3"/>
    <w:rsid w:val="00400F15"/>
    <w:rsid w:val="004112C3"/>
    <w:rsid w:val="00413F9C"/>
    <w:rsid w:val="00431F8C"/>
    <w:rsid w:val="00460263"/>
    <w:rsid w:val="00492138"/>
    <w:rsid w:val="004A5FF0"/>
    <w:rsid w:val="004C1367"/>
    <w:rsid w:val="004C717B"/>
    <w:rsid w:val="004E7F7C"/>
    <w:rsid w:val="00533293"/>
    <w:rsid w:val="00542A08"/>
    <w:rsid w:val="00543299"/>
    <w:rsid w:val="00550206"/>
    <w:rsid w:val="005516CA"/>
    <w:rsid w:val="0056364A"/>
    <w:rsid w:val="00583231"/>
    <w:rsid w:val="00586714"/>
    <w:rsid w:val="005A5313"/>
    <w:rsid w:val="005B1BBD"/>
    <w:rsid w:val="005C189B"/>
    <w:rsid w:val="005D3E6F"/>
    <w:rsid w:val="005D442C"/>
    <w:rsid w:val="005E1F39"/>
    <w:rsid w:val="005E2062"/>
    <w:rsid w:val="005E71AE"/>
    <w:rsid w:val="00604CD6"/>
    <w:rsid w:val="00613626"/>
    <w:rsid w:val="00621AA5"/>
    <w:rsid w:val="00666C0B"/>
    <w:rsid w:val="00672FDF"/>
    <w:rsid w:val="006731C8"/>
    <w:rsid w:val="00692594"/>
    <w:rsid w:val="006926AE"/>
    <w:rsid w:val="006C20B0"/>
    <w:rsid w:val="006F03EF"/>
    <w:rsid w:val="00704E3E"/>
    <w:rsid w:val="00713963"/>
    <w:rsid w:val="00735E1B"/>
    <w:rsid w:val="007400AF"/>
    <w:rsid w:val="00761193"/>
    <w:rsid w:val="007757B5"/>
    <w:rsid w:val="00783018"/>
    <w:rsid w:val="00797847"/>
    <w:rsid w:val="007C6754"/>
    <w:rsid w:val="007D3152"/>
    <w:rsid w:val="007F01EB"/>
    <w:rsid w:val="00800E94"/>
    <w:rsid w:val="00805BB6"/>
    <w:rsid w:val="008113A7"/>
    <w:rsid w:val="00827312"/>
    <w:rsid w:val="008303D6"/>
    <w:rsid w:val="00833BE8"/>
    <w:rsid w:val="008400A9"/>
    <w:rsid w:val="00840AB6"/>
    <w:rsid w:val="00852A01"/>
    <w:rsid w:val="0089150C"/>
    <w:rsid w:val="00895958"/>
    <w:rsid w:val="008B1307"/>
    <w:rsid w:val="008D2DA0"/>
    <w:rsid w:val="008D5F04"/>
    <w:rsid w:val="008E568F"/>
    <w:rsid w:val="008F1CA8"/>
    <w:rsid w:val="0092125C"/>
    <w:rsid w:val="009409B4"/>
    <w:rsid w:val="0094145A"/>
    <w:rsid w:val="00961F75"/>
    <w:rsid w:val="00971FD0"/>
    <w:rsid w:val="0097667C"/>
    <w:rsid w:val="0097785A"/>
    <w:rsid w:val="00981DAC"/>
    <w:rsid w:val="00982ECC"/>
    <w:rsid w:val="009A4D35"/>
    <w:rsid w:val="009A5410"/>
    <w:rsid w:val="009A59AC"/>
    <w:rsid w:val="009D6DF3"/>
    <w:rsid w:val="009F0226"/>
    <w:rsid w:val="00A02DE9"/>
    <w:rsid w:val="00A04663"/>
    <w:rsid w:val="00A110F8"/>
    <w:rsid w:val="00A14025"/>
    <w:rsid w:val="00A2303A"/>
    <w:rsid w:val="00A355DB"/>
    <w:rsid w:val="00A40BD9"/>
    <w:rsid w:val="00A52DD6"/>
    <w:rsid w:val="00A54312"/>
    <w:rsid w:val="00A63AEC"/>
    <w:rsid w:val="00A73B0F"/>
    <w:rsid w:val="00A83713"/>
    <w:rsid w:val="00A95041"/>
    <w:rsid w:val="00AB103A"/>
    <w:rsid w:val="00AB75C7"/>
    <w:rsid w:val="00AC05B5"/>
    <w:rsid w:val="00AD02E1"/>
    <w:rsid w:val="00AF3B6C"/>
    <w:rsid w:val="00B13362"/>
    <w:rsid w:val="00B53A0F"/>
    <w:rsid w:val="00B554FD"/>
    <w:rsid w:val="00B81A0C"/>
    <w:rsid w:val="00B81EDF"/>
    <w:rsid w:val="00BA0B4C"/>
    <w:rsid w:val="00BB1898"/>
    <w:rsid w:val="00BD5F2D"/>
    <w:rsid w:val="00BF1E33"/>
    <w:rsid w:val="00BF2EF4"/>
    <w:rsid w:val="00BF3C18"/>
    <w:rsid w:val="00C00247"/>
    <w:rsid w:val="00C128E2"/>
    <w:rsid w:val="00C32006"/>
    <w:rsid w:val="00C34CF9"/>
    <w:rsid w:val="00C60CB0"/>
    <w:rsid w:val="00C66CB8"/>
    <w:rsid w:val="00C93FBB"/>
    <w:rsid w:val="00C95AB5"/>
    <w:rsid w:val="00C95CD4"/>
    <w:rsid w:val="00C97EF4"/>
    <w:rsid w:val="00CA0A0B"/>
    <w:rsid w:val="00CC68FB"/>
    <w:rsid w:val="00CC72A4"/>
    <w:rsid w:val="00CD060B"/>
    <w:rsid w:val="00CE7C5C"/>
    <w:rsid w:val="00CF63F3"/>
    <w:rsid w:val="00D06DCF"/>
    <w:rsid w:val="00D13381"/>
    <w:rsid w:val="00D15697"/>
    <w:rsid w:val="00D537D7"/>
    <w:rsid w:val="00D77F1F"/>
    <w:rsid w:val="00D87062"/>
    <w:rsid w:val="00DA2B22"/>
    <w:rsid w:val="00E046A9"/>
    <w:rsid w:val="00E04F24"/>
    <w:rsid w:val="00E113A2"/>
    <w:rsid w:val="00E21D14"/>
    <w:rsid w:val="00E25EBC"/>
    <w:rsid w:val="00E26A72"/>
    <w:rsid w:val="00E4228A"/>
    <w:rsid w:val="00E51A18"/>
    <w:rsid w:val="00E53445"/>
    <w:rsid w:val="00E67EDD"/>
    <w:rsid w:val="00E75F95"/>
    <w:rsid w:val="00E874F0"/>
    <w:rsid w:val="00E87B28"/>
    <w:rsid w:val="00EA552D"/>
    <w:rsid w:val="00EA627B"/>
    <w:rsid w:val="00EB6495"/>
    <w:rsid w:val="00EC06A3"/>
    <w:rsid w:val="00EF18DC"/>
    <w:rsid w:val="00EF23FE"/>
    <w:rsid w:val="00F22C43"/>
    <w:rsid w:val="00F53283"/>
    <w:rsid w:val="00F546C0"/>
    <w:rsid w:val="00F70413"/>
    <w:rsid w:val="00F743FA"/>
    <w:rsid w:val="00F92F1A"/>
    <w:rsid w:val="00FB1AEE"/>
    <w:rsid w:val="00FC28D3"/>
    <w:rsid w:val="00FE0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0092C2"/>
  <w15:chartTrackingRefBased/>
  <w15:docId w15:val="{102A8D73-4AE3-4644-9E08-21673EC6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ECC"/>
  </w:style>
  <w:style w:type="paragraph" w:styleId="Footer">
    <w:name w:val="footer"/>
    <w:basedOn w:val="Normal"/>
    <w:link w:val="FooterChar"/>
    <w:uiPriority w:val="99"/>
    <w:unhideWhenUsed/>
    <w:rsid w:val="00982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ECC"/>
  </w:style>
  <w:style w:type="character" w:styleId="Hyperlink">
    <w:name w:val="Hyperlink"/>
    <w:basedOn w:val="DefaultParagraphFont"/>
    <w:uiPriority w:val="99"/>
    <w:unhideWhenUsed/>
    <w:rsid w:val="00D13381"/>
    <w:rPr>
      <w:color w:val="0563C1" w:themeColor="hyperlink"/>
      <w:u w:val="single"/>
    </w:rPr>
  </w:style>
  <w:style w:type="character" w:styleId="Mention">
    <w:name w:val="Mention"/>
    <w:basedOn w:val="DefaultParagraphFont"/>
    <w:uiPriority w:val="99"/>
    <w:semiHidden/>
    <w:unhideWhenUsed/>
    <w:rsid w:val="00D13381"/>
    <w:rPr>
      <w:color w:val="2B579A"/>
      <w:shd w:val="clear" w:color="auto" w:fill="E6E6E6"/>
    </w:rPr>
  </w:style>
  <w:style w:type="paragraph" w:styleId="ListParagraph">
    <w:name w:val="List Paragraph"/>
    <w:basedOn w:val="Normal"/>
    <w:uiPriority w:val="34"/>
    <w:qFormat/>
    <w:rsid w:val="005C189B"/>
    <w:pPr>
      <w:ind w:left="720"/>
      <w:contextualSpacing/>
    </w:pPr>
  </w:style>
  <w:style w:type="character" w:styleId="CommentReference">
    <w:name w:val="annotation reference"/>
    <w:basedOn w:val="DefaultParagraphFont"/>
    <w:uiPriority w:val="99"/>
    <w:semiHidden/>
    <w:unhideWhenUsed/>
    <w:rsid w:val="00E113A2"/>
    <w:rPr>
      <w:sz w:val="16"/>
      <w:szCs w:val="16"/>
    </w:rPr>
  </w:style>
  <w:style w:type="paragraph" w:styleId="CommentText">
    <w:name w:val="annotation text"/>
    <w:basedOn w:val="Normal"/>
    <w:link w:val="CommentTextChar"/>
    <w:uiPriority w:val="99"/>
    <w:semiHidden/>
    <w:unhideWhenUsed/>
    <w:rsid w:val="00E113A2"/>
    <w:pPr>
      <w:spacing w:line="240" w:lineRule="auto"/>
    </w:pPr>
    <w:rPr>
      <w:sz w:val="20"/>
      <w:szCs w:val="20"/>
    </w:rPr>
  </w:style>
  <w:style w:type="character" w:customStyle="1" w:styleId="CommentTextChar">
    <w:name w:val="Comment Text Char"/>
    <w:basedOn w:val="DefaultParagraphFont"/>
    <w:link w:val="CommentText"/>
    <w:uiPriority w:val="99"/>
    <w:semiHidden/>
    <w:rsid w:val="00E113A2"/>
    <w:rPr>
      <w:sz w:val="20"/>
      <w:szCs w:val="20"/>
    </w:rPr>
  </w:style>
  <w:style w:type="paragraph" w:styleId="CommentSubject">
    <w:name w:val="annotation subject"/>
    <w:basedOn w:val="CommentText"/>
    <w:next w:val="CommentText"/>
    <w:link w:val="CommentSubjectChar"/>
    <w:uiPriority w:val="99"/>
    <w:semiHidden/>
    <w:unhideWhenUsed/>
    <w:rsid w:val="00E113A2"/>
    <w:rPr>
      <w:b/>
      <w:bCs/>
    </w:rPr>
  </w:style>
  <w:style w:type="character" w:customStyle="1" w:styleId="CommentSubjectChar">
    <w:name w:val="Comment Subject Char"/>
    <w:basedOn w:val="CommentTextChar"/>
    <w:link w:val="CommentSubject"/>
    <w:uiPriority w:val="99"/>
    <w:semiHidden/>
    <w:rsid w:val="00E113A2"/>
    <w:rPr>
      <w:b/>
      <w:bCs/>
      <w:sz w:val="20"/>
      <w:szCs w:val="20"/>
    </w:rPr>
  </w:style>
  <w:style w:type="paragraph" w:styleId="BalloonText">
    <w:name w:val="Balloon Text"/>
    <w:basedOn w:val="Normal"/>
    <w:link w:val="BalloonTextChar"/>
    <w:uiPriority w:val="99"/>
    <w:semiHidden/>
    <w:unhideWhenUsed/>
    <w:rsid w:val="00E11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A2"/>
    <w:rPr>
      <w:rFonts w:ascii="Segoe UI" w:hAnsi="Segoe UI" w:cs="Segoe UI"/>
      <w:sz w:val="18"/>
      <w:szCs w:val="18"/>
    </w:rPr>
  </w:style>
  <w:style w:type="character" w:styleId="UnresolvedMention">
    <w:name w:val="Unresolved Mention"/>
    <w:basedOn w:val="DefaultParagraphFont"/>
    <w:uiPriority w:val="99"/>
    <w:semiHidden/>
    <w:unhideWhenUsed/>
    <w:rsid w:val="00E87B28"/>
    <w:rPr>
      <w:color w:val="808080"/>
      <w:shd w:val="clear" w:color="auto" w:fill="E6E6E6"/>
    </w:rPr>
  </w:style>
  <w:style w:type="paragraph" w:styleId="NormalWeb">
    <w:name w:val="Normal (Web)"/>
    <w:basedOn w:val="Normal"/>
    <w:uiPriority w:val="99"/>
    <w:semiHidden/>
    <w:unhideWhenUsed/>
    <w:rsid w:val="008113A7"/>
    <w:pPr>
      <w:spacing w:before="100" w:beforeAutospacing="1" w:after="100" w:afterAutospacing="1" w:line="240" w:lineRule="auto"/>
    </w:pPr>
    <w:rPr>
      <w:rFonts w:ascii="Times New Roman" w:hAnsi="Times New Roman" w:cs="Times New Roman"/>
      <w:sz w:val="24"/>
      <w:szCs w:val="24"/>
    </w:rPr>
  </w:style>
  <w:style w:type="table" w:styleId="GridTable5Dark-Accent2">
    <w:name w:val="Grid Table 5 Dark Accent 2"/>
    <w:basedOn w:val="TableNormal"/>
    <w:uiPriority w:val="50"/>
    <w:rsid w:val="00D77F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Grid">
    <w:name w:val="Table Grid"/>
    <w:basedOn w:val="TableNormal"/>
    <w:uiPriority w:val="59"/>
    <w:rsid w:val="00621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02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15089">
      <w:bodyDiv w:val="1"/>
      <w:marLeft w:val="0"/>
      <w:marRight w:val="0"/>
      <w:marTop w:val="0"/>
      <w:marBottom w:val="0"/>
      <w:divBdr>
        <w:top w:val="none" w:sz="0" w:space="0" w:color="auto"/>
        <w:left w:val="none" w:sz="0" w:space="0" w:color="auto"/>
        <w:bottom w:val="none" w:sz="0" w:space="0" w:color="auto"/>
        <w:right w:val="none" w:sz="0" w:space="0" w:color="auto"/>
      </w:divBdr>
    </w:div>
    <w:div w:id="870723543">
      <w:bodyDiv w:val="1"/>
      <w:marLeft w:val="0"/>
      <w:marRight w:val="0"/>
      <w:marTop w:val="0"/>
      <w:marBottom w:val="0"/>
      <w:divBdr>
        <w:top w:val="none" w:sz="0" w:space="0" w:color="auto"/>
        <w:left w:val="none" w:sz="0" w:space="0" w:color="auto"/>
        <w:bottom w:val="none" w:sz="0" w:space="0" w:color="auto"/>
        <w:right w:val="none" w:sz="0" w:space="0" w:color="auto"/>
      </w:divBdr>
    </w:div>
    <w:div w:id="905184307">
      <w:bodyDiv w:val="1"/>
      <w:marLeft w:val="0"/>
      <w:marRight w:val="0"/>
      <w:marTop w:val="0"/>
      <w:marBottom w:val="0"/>
      <w:divBdr>
        <w:top w:val="none" w:sz="0" w:space="0" w:color="auto"/>
        <w:left w:val="none" w:sz="0" w:space="0" w:color="auto"/>
        <w:bottom w:val="none" w:sz="0" w:space="0" w:color="auto"/>
        <w:right w:val="none" w:sz="0" w:space="0" w:color="auto"/>
      </w:divBdr>
    </w:div>
    <w:div w:id="1332829104">
      <w:bodyDiv w:val="1"/>
      <w:marLeft w:val="0"/>
      <w:marRight w:val="0"/>
      <w:marTop w:val="0"/>
      <w:marBottom w:val="0"/>
      <w:divBdr>
        <w:top w:val="none" w:sz="0" w:space="0" w:color="auto"/>
        <w:left w:val="none" w:sz="0" w:space="0" w:color="auto"/>
        <w:bottom w:val="none" w:sz="0" w:space="0" w:color="auto"/>
        <w:right w:val="none" w:sz="0" w:space="0" w:color="auto"/>
      </w:divBdr>
    </w:div>
    <w:div w:id="1560363177">
      <w:bodyDiv w:val="1"/>
      <w:marLeft w:val="0"/>
      <w:marRight w:val="0"/>
      <w:marTop w:val="0"/>
      <w:marBottom w:val="0"/>
      <w:divBdr>
        <w:top w:val="none" w:sz="0" w:space="0" w:color="auto"/>
        <w:left w:val="none" w:sz="0" w:space="0" w:color="auto"/>
        <w:bottom w:val="none" w:sz="0" w:space="0" w:color="auto"/>
        <w:right w:val="none" w:sz="0" w:space="0" w:color="auto"/>
      </w:divBdr>
    </w:div>
    <w:div w:id="1562213160">
      <w:bodyDiv w:val="1"/>
      <w:marLeft w:val="0"/>
      <w:marRight w:val="0"/>
      <w:marTop w:val="0"/>
      <w:marBottom w:val="0"/>
      <w:divBdr>
        <w:top w:val="none" w:sz="0" w:space="0" w:color="auto"/>
        <w:left w:val="none" w:sz="0" w:space="0" w:color="auto"/>
        <w:bottom w:val="none" w:sz="0" w:space="0" w:color="auto"/>
        <w:right w:val="none" w:sz="0" w:space="0" w:color="auto"/>
      </w:divBdr>
    </w:div>
    <w:div w:id="17493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gi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p.weixin.qq.com/s/jH35PGYCZSMXRviWLLygl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gi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hyperlink" Target="https://www.sciencedirec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image" Target="media/image10.jpeg"/><Relationship Id="rId10" Type="http://schemas.openxmlformats.org/officeDocument/2006/relationships/endnotes" Target="endnotes.xml"/><Relationship Id="rId19" Type="http://schemas.openxmlformats.org/officeDocument/2006/relationships/image" Target="media/image9.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s://mp.weixin.qq.com/s/Oq_H-gNgXX1X2cwnPc92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19050"/>
      </a:spPr>
      <a:bodyPr rtlCol="0" anchor="ctr"/>
      <a:lstStyle/>
      <a:style>
        <a:lnRef idx="2">
          <a:schemeClr val="accent2"/>
        </a:lnRef>
        <a:fillRef idx="1">
          <a:schemeClr val="lt1"/>
        </a:fillRef>
        <a:effectRef idx="0">
          <a:schemeClr val="accent2"/>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F462C81B4CA4089CDB375C6F04451" ma:contentTypeVersion="11" ma:contentTypeDescription="Create a new document." ma:contentTypeScope="" ma:versionID="c608c4fc7ed48988acd978afc68f52a5">
  <xsd:schema xmlns:xsd="http://www.w3.org/2001/XMLSchema" xmlns:xs="http://www.w3.org/2001/XMLSchema" xmlns:p="http://schemas.microsoft.com/office/2006/metadata/properties" xmlns:ns3="bcd1ee4d-0a03-4459-8227-1729d7e061bd" xmlns:ns4="69a629a4-d0d4-49a2-bb4f-4472faa1e085" targetNamespace="http://schemas.microsoft.com/office/2006/metadata/properties" ma:root="true" ma:fieldsID="3bd9e443085282220012a0d9cb9b4764" ns3:_="" ns4:_="">
    <xsd:import namespace="bcd1ee4d-0a03-4459-8227-1729d7e061bd"/>
    <xsd:import namespace="69a629a4-d0d4-49a2-bb4f-4472faa1e0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ee4d-0a03-4459-8227-1729d7e06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a629a4-d0d4-49a2-bb4f-4472faa1e0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31F6-FE3A-4032-9FB4-EACAFCA22FDB}">
  <ds:schemaRefs>
    <ds:schemaRef ds:uri="http://purl.org/dc/elements/1.1/"/>
    <ds:schemaRef ds:uri="69a629a4-d0d4-49a2-bb4f-4472faa1e08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bcd1ee4d-0a03-4459-8227-1729d7e061bd"/>
    <ds:schemaRef ds:uri="http://www.w3.org/XML/1998/namespace"/>
    <ds:schemaRef ds:uri="http://purl.org/dc/dcmitype/"/>
  </ds:schemaRefs>
</ds:datastoreItem>
</file>

<file path=customXml/itemProps2.xml><?xml version="1.0" encoding="utf-8"?>
<ds:datastoreItem xmlns:ds="http://schemas.openxmlformats.org/officeDocument/2006/customXml" ds:itemID="{65D51AD7-5AA2-43F6-9929-21C4B3410365}">
  <ds:schemaRefs>
    <ds:schemaRef ds:uri="http://schemas.microsoft.com/sharepoint/v3/contenttype/forms"/>
  </ds:schemaRefs>
</ds:datastoreItem>
</file>

<file path=customXml/itemProps3.xml><?xml version="1.0" encoding="utf-8"?>
<ds:datastoreItem xmlns:ds="http://schemas.openxmlformats.org/officeDocument/2006/customXml" ds:itemID="{51559038-A28B-4691-B0F3-757A0AA7D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ee4d-0a03-4459-8227-1729d7e061bd"/>
    <ds:schemaRef ds:uri="69a629a4-d0d4-49a2-bb4f-4472faa1e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6627F-AED4-4C92-AB2C-F8AB783A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Xiaoqian (ELS-BEI)</dc:creator>
  <cp:keywords/>
  <dc:description/>
  <cp:lastModifiedBy>Qin, Alexis (ELS-BEI)</cp:lastModifiedBy>
  <cp:revision>58</cp:revision>
  <dcterms:created xsi:type="dcterms:W3CDTF">2020-03-09T04:48:00Z</dcterms:created>
  <dcterms:modified xsi:type="dcterms:W3CDTF">2020-03-09T08:42:00Z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0x010100103F462C81B4CA4089CDB375C6F04451</vt:lpwstr>
  </property>
</Properties>
</file>